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35BF7" w14:textId="77777777" w:rsidR="00CC6763" w:rsidRDefault="00CC6763">
      <w:pPr>
        <w:widowControl w:val="0"/>
        <w:autoSpaceDE w:val="0"/>
        <w:autoSpaceDN w:val="0"/>
        <w:adjustRightInd w:val="0"/>
        <w:spacing w:after="0" w:line="240" w:lineRule="auto"/>
        <w:rPr>
          <w:rFonts w:ascii="Times New Roman" w:hAnsi="Times New Roman"/>
          <w:sz w:val="24"/>
          <w:szCs w:val="24"/>
        </w:rPr>
      </w:pPr>
    </w:p>
    <w:p w14:paraId="231BF88F" w14:textId="77777777" w:rsidR="00CC6763" w:rsidRDefault="00CC676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31B5A06" w14:textId="77777777" w:rsidR="00CC6763" w:rsidRDefault="00CC676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4B594403"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3A930AE6"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3615E1F0"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 xml:space="preserve">Structural </w:t>
      </w:r>
      <w:proofErr w:type="spellStart"/>
      <w:r>
        <w:rPr>
          <w:rFonts w:ascii="ArialMT" w:hAnsi="ArialMT" w:cs="ArialMT"/>
          <w:i/>
          <w:iCs/>
          <w:sz w:val="20"/>
          <w:szCs w:val="20"/>
        </w:rPr>
        <w:t>Engineering</w:t>
      </w:r>
      <w:r>
        <w:rPr>
          <w:rFonts w:ascii="ArialMT" w:hAnsi="ArialMT" w:cs="ArialMT"/>
          <w:sz w:val="20"/>
          <w:szCs w:val="20"/>
        </w:rPr>
        <w:t>and</w:t>
      </w:r>
      <w:proofErr w:type="spellEnd"/>
      <w:r>
        <w:rPr>
          <w:rFonts w:ascii="ArialMT" w:hAnsi="ArialMT" w:cs="ArialMT"/>
          <w:sz w:val="20"/>
          <w:szCs w:val="20"/>
        </w:rPr>
        <w:t xml:space="preserve">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00897980"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3506D7A7"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628BE554"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2BE9ADAF"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3EB8CC6B"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52870767"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2133CECA" w14:textId="77777777" w:rsidR="00CC6763" w:rsidRDefault="00CC676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5B90E316" w14:textId="77777777" w:rsidR="00CC6763" w:rsidRDefault="00CC676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6064BCAD" w14:textId="77777777" w:rsidR="00CC6763" w:rsidRDefault="00CC676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13A71217" w14:textId="77777777" w:rsidR="00CC6763" w:rsidRDefault="00CC676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0B6DBCA6" w14:textId="77777777" w:rsidR="00CC6763" w:rsidRDefault="00CC676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0BEAD9F1" w14:textId="77777777" w:rsidR="00CC6763" w:rsidRDefault="00CC676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4BB7976A" w14:textId="77777777" w:rsidR="00CC6763" w:rsidRDefault="00CC676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5D38A56F" w14:textId="77777777" w:rsidR="00CC6763" w:rsidRDefault="00CC676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612F6AB0" w14:textId="77777777" w:rsidR="00CC6763" w:rsidRDefault="00CC6763">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731CDA32" w14:textId="77777777" w:rsidR="00CC6763" w:rsidRDefault="00CC6763">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34EB9E76" w14:textId="77777777" w:rsidR="00CC6763" w:rsidRDefault="00CC676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4E2AD6BB"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5C7C90CF"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31CC3CFA" w14:textId="77777777" w:rsidR="00CC6763" w:rsidRDefault="00CC6763">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034C0C41" w14:textId="77777777" w:rsidR="00CC6763" w:rsidRDefault="00CC676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177ECD64" w14:textId="77777777" w:rsidR="00CC6763" w:rsidRDefault="00CC6763">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769A3C82" w14:textId="77777777" w:rsidR="00CC6763" w:rsidRDefault="00CC6763">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16104D80" w14:textId="77777777" w:rsidR="00CC6763" w:rsidRDefault="00CC676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0A79EE29"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02B25964"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0F1BF12D"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3E000665"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other portions of this RFP.</w:t>
      </w:r>
    </w:p>
    <w:p w14:paraId="22022044"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469CA6CC"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02B7AEA3"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5BB3647A"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0C227E2F"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224F7DBC"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5E9752A9"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6E4B1487"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r w:rsidR="00CB15E9">
        <w:rPr>
          <w:rFonts w:ascii="ArialMT" w:hAnsi="ArialMT" w:cs="ArialMT"/>
          <w:b/>
          <w:bCs/>
          <w:vanish/>
          <w:color w:val="0000FF"/>
          <w:sz w:val="20"/>
          <w:szCs w:val="20"/>
        </w:rPr>
        <w:br/>
      </w:r>
      <w:r>
        <w:rPr>
          <w:rFonts w:ascii="ArialMT" w:hAnsi="ArialMT" w:cs="ArialMT"/>
          <w:b/>
          <w:bCs/>
          <w:vanish/>
          <w:color w:val="0000FF"/>
          <w:sz w:val="20"/>
          <w:szCs w:val="20"/>
        </w:rPr>
        <w:t>**********************************************************************************************************</w:t>
      </w:r>
    </w:p>
    <w:p w14:paraId="515F77E7"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5687B24E"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2ED04EED"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0870A5DB"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6497682C"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1F8440DE"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2FB9592B"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749E9C43"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03DDA7C9"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697A7DCB" w14:textId="77777777" w:rsidR="00CC6763" w:rsidRDefault="00CC676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1B38C24B"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 Test.</w:t>
      </w:r>
    </w:p>
    <w:p w14:paraId="6B828026" w14:textId="77777777" w:rsidR="00CC6763" w:rsidRDefault="00CC676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087B27E5"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w:t>
      </w:r>
      <w:proofErr w:type="spellStart"/>
      <w:r>
        <w:rPr>
          <w:rFonts w:ascii="ArialMT" w:hAnsi="ArialMT" w:cs="ArialMT"/>
          <w:sz w:val="20"/>
          <w:szCs w:val="20"/>
        </w:rPr>
        <w:t>vibroflotation</w:t>
      </w:r>
      <w:proofErr w:type="spellEnd"/>
      <w:r>
        <w:rPr>
          <w:rFonts w:ascii="ArialMT" w:hAnsi="ArialMT" w:cs="ArialMT"/>
          <w:sz w:val="20"/>
          <w:szCs w:val="20"/>
        </w:rPr>
        <w:t xml:space="preserve">,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w:t>
      </w:r>
      <w:proofErr w:type="gramStart"/>
      <w:r>
        <w:rPr>
          <w:rFonts w:ascii="ArialMT" w:hAnsi="ArialMT" w:cs="ArialMT"/>
          <w:sz w:val="20"/>
          <w:szCs w:val="20"/>
        </w:rPr>
        <w:t>testing</w:t>
      </w:r>
      <w:proofErr w:type="gramEnd"/>
      <w:r>
        <w:rPr>
          <w:rFonts w:ascii="ArialMT" w:hAnsi="ArialMT" w:cs="ArialMT"/>
          <w:sz w:val="20"/>
          <w:szCs w:val="20"/>
        </w:rPr>
        <w:t xml:space="preserve"> and inspection to be used, supporting test data, calculations and any other information related to the structural properties and load capacity of such system.  The allowable stresses for piles/piers must not exceed those limitations specified in UFC 1-200-01.</w:t>
      </w:r>
    </w:p>
    <w:p w14:paraId="77B639DB"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24D67335"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520E7A6A"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[Support the entire project structure on a deep </w:t>
      </w:r>
      <w:proofErr w:type="gramStart"/>
      <w:r>
        <w:rPr>
          <w:rFonts w:ascii="ArialMT" w:hAnsi="ArialMT" w:cs="ArialMT"/>
          <w:sz w:val="20"/>
          <w:szCs w:val="20"/>
        </w:rPr>
        <w:t>foundation][</w:t>
      </w:r>
      <w:proofErr w:type="gramEnd"/>
      <w:r>
        <w:rPr>
          <w:rFonts w:ascii="ArialMT" w:hAnsi="ArialMT" w:cs="ArialMT"/>
          <w:sz w:val="20"/>
          <w:szCs w:val="20"/>
        </w:rPr>
        <w:t>A shallow foundation is allowed provided surcharging is performed.][A crawl space is not permitted.][____].</w:t>
      </w:r>
    </w:p>
    <w:p w14:paraId="107B1D43"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5E1E4444" w14:textId="77777777" w:rsidR="00CC6763" w:rsidRDefault="00CC6763">
      <w:pPr>
        <w:widowControl w:val="0"/>
        <w:autoSpaceDE w:val="0"/>
        <w:autoSpaceDN w:val="0"/>
        <w:adjustRightInd w:val="0"/>
        <w:spacing w:after="0" w:line="240" w:lineRule="auto"/>
        <w:rPr>
          <w:rFonts w:ascii="ArialMT" w:hAnsi="ArialMT" w:cs="ArialMT"/>
          <w:vanish/>
          <w:sz w:val="20"/>
          <w:szCs w:val="20"/>
        </w:rPr>
      </w:pPr>
    </w:p>
    <w:p w14:paraId="4A2DD5FF"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w:t>
      </w:r>
      <w:proofErr w:type="gramStart"/>
      <w:r>
        <w:rPr>
          <w:rFonts w:ascii="ArialMT" w:hAnsi="ArialMT" w:cs="ArialMT"/>
          <w:sz w:val="20"/>
          <w:szCs w:val="20"/>
        </w:rPr>
        <w:t>ASTM)  A</w:t>
      </w:r>
      <w:proofErr w:type="gramEnd"/>
      <w:r>
        <w:rPr>
          <w:rFonts w:ascii="ArialMT" w:hAnsi="ArialMT" w:cs="ArialMT"/>
          <w:sz w:val="20"/>
          <w:szCs w:val="20"/>
        </w:rPr>
        <w:t xml:space="preserve"> 690/ A 690M.]  Apply a protective coating conforming to Society for Protective Coatings (SSPC) [PS 10.01] [PS 10.02] [PS </w:t>
      </w:r>
      <w:proofErr w:type="gramStart"/>
      <w:r>
        <w:rPr>
          <w:rFonts w:ascii="ArialMT" w:hAnsi="ArialMT" w:cs="ArialMT"/>
          <w:sz w:val="20"/>
          <w:szCs w:val="20"/>
        </w:rPr>
        <w:t>11.01][</w:t>
      </w:r>
      <w:proofErr w:type="gramEnd"/>
      <w:r>
        <w:rPr>
          <w:rFonts w:ascii="ArialMT" w:hAnsi="ArialMT" w:cs="ArialMT"/>
          <w:sz w:val="20"/>
          <w:szCs w:val="20"/>
        </w:rPr>
        <w:t>on the exterior face][on both faces] of sheet piles in the in the splash zone]. [Allow [1/</w:t>
      </w:r>
      <w:proofErr w:type="gramStart"/>
      <w:r>
        <w:rPr>
          <w:rFonts w:ascii="ArialMT" w:hAnsi="ArialMT" w:cs="ArialMT"/>
          <w:sz w:val="20"/>
          <w:szCs w:val="20"/>
        </w:rPr>
        <w:t>16][</w:t>
      </w:r>
      <w:proofErr w:type="gramEnd"/>
      <w:r>
        <w:rPr>
          <w:rFonts w:ascii="ArialMT" w:hAnsi="ArialMT" w:cs="ArialMT"/>
          <w:sz w:val="20"/>
          <w:szCs w:val="20"/>
        </w:rPr>
        <w:t>1/8] inch of additional wall thickness for sacrificial corrosion.]".</w:t>
      </w:r>
    </w:p>
    <w:p w14:paraId="5B7763B0" w14:textId="77777777" w:rsidR="00CC6763" w:rsidRDefault="00CC676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0E383ECB" w14:textId="77777777" w:rsidR="00CC6763" w:rsidRDefault="00CC676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1ECD9BC9" w14:textId="77777777" w:rsidR="00CB15E9" w:rsidRDefault="00CB15E9">
      <w:pPr>
        <w:widowControl w:val="0"/>
        <w:autoSpaceDE w:val="0"/>
        <w:autoSpaceDN w:val="0"/>
        <w:adjustRightInd w:val="0"/>
        <w:spacing w:after="240" w:line="240" w:lineRule="auto"/>
        <w:ind w:left="340"/>
        <w:rPr>
          <w:rFonts w:ascii="ArialMT" w:hAnsi="ArialMT" w:cs="ArialMT"/>
          <w:sz w:val="20"/>
          <w:szCs w:val="20"/>
        </w:rPr>
      </w:pPr>
    </w:p>
    <w:p w14:paraId="50DE1DAC"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[As determined by the Designer of Record, provide soil supported concrete slab on ground.  Where slab on ground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74253D67"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53B1842A" w14:textId="77777777" w:rsidR="00CC6763" w:rsidRDefault="00CC676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5C2820E3"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w:t>
      </w:r>
      <w:proofErr w:type="gramStart"/>
      <w:r>
        <w:rPr>
          <w:rFonts w:ascii="ArialMT" w:hAnsi="ArialMT" w:cs="ArialMT"/>
          <w:sz w:val="20"/>
          <w:szCs w:val="20"/>
        </w:rPr>
        <w:t>Provide under</w:t>
      </w:r>
      <w:proofErr w:type="gramEnd"/>
      <w:r>
        <w:rPr>
          <w:rFonts w:ascii="ArialMT" w:hAnsi="ArialMT" w:cs="ArialMT"/>
          <w:sz w:val="20"/>
          <w:szCs w:val="20"/>
        </w:rPr>
        <w:t xml:space="preserve"> slab insulation in accordance with ASHRAE 189.1, Normative Appendix A.</w:t>
      </w:r>
    </w:p>
    <w:p w14:paraId="0A82984F" w14:textId="77777777" w:rsidR="00CC6763" w:rsidRDefault="00CC676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CC676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F2289" w14:textId="77777777" w:rsidR="00D44782" w:rsidRDefault="00D44782">
      <w:pPr>
        <w:spacing w:after="0" w:line="240" w:lineRule="auto"/>
      </w:pPr>
      <w:r>
        <w:separator/>
      </w:r>
    </w:p>
  </w:endnote>
  <w:endnote w:type="continuationSeparator" w:id="0">
    <w:p w14:paraId="626CB47B" w14:textId="77777777" w:rsidR="00D44782" w:rsidRDefault="00D44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D82E9" w14:textId="77777777" w:rsidR="00CC6763" w:rsidRDefault="00CC676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DFF54" w14:textId="77777777" w:rsidR="00D44782" w:rsidRDefault="00D44782">
      <w:pPr>
        <w:spacing w:after="0" w:line="240" w:lineRule="auto"/>
      </w:pPr>
      <w:r>
        <w:separator/>
      </w:r>
    </w:p>
  </w:footnote>
  <w:footnote w:type="continuationSeparator" w:id="0">
    <w:p w14:paraId="2CFB671D" w14:textId="77777777" w:rsidR="00D44782" w:rsidRDefault="00D44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79F7A" w14:textId="77777777" w:rsidR="00CC6763" w:rsidRDefault="00CC676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E9"/>
    <w:rsid w:val="006A6C8A"/>
    <w:rsid w:val="00CB15E9"/>
    <w:rsid w:val="00CC6763"/>
    <w:rsid w:val="00D44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C12AED"/>
  <w14:defaultImageDpi w14:val="0"/>
  <w15:docId w15:val="{006DB4A8-6E08-4957-BDB0-4C12E97A8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2624</Words>
  <Characters>14960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2024-06-24T14:44:00Z</dcterms:created>
  <dcterms:modified xsi:type="dcterms:W3CDTF">2024-06-24T14:44:00Z</dcterms:modified>
  <cp:category>Design Build</cp:category>
</cp:coreProperties>
</file>