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F3904" w14:textId="77777777" w:rsidR="004A059B" w:rsidRDefault="004A059B">
      <w:pPr>
        <w:widowControl w:val="0"/>
        <w:autoSpaceDE w:val="0"/>
        <w:autoSpaceDN w:val="0"/>
        <w:adjustRightInd w:val="0"/>
        <w:spacing w:after="0" w:line="240" w:lineRule="auto"/>
        <w:rPr>
          <w:rFonts w:ascii="Times New Roman" w:hAnsi="Times New Roman"/>
          <w:sz w:val="24"/>
          <w:szCs w:val="24"/>
        </w:rPr>
      </w:pPr>
    </w:p>
    <w:p w14:paraId="059B4C69" w14:textId="77777777" w:rsidR="004A059B" w:rsidRDefault="004A059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1CF1896" w14:textId="77777777" w:rsidR="004A059B" w:rsidRDefault="004A059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70EEEE0F"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192F9ECD"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52EBE0EF"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exterior enclosure component relative to Part 2 UFGS Section 01 33 29, </w:t>
      </w:r>
      <w:r>
        <w:rPr>
          <w:rFonts w:ascii="ArialMT" w:hAnsi="ArialMT" w:cs="ArialMT"/>
          <w:b/>
          <w:bCs/>
          <w:i/>
          <w:iCs/>
          <w:vanish/>
          <w:color w:val="0000FF"/>
          <w:sz w:val="20"/>
          <w:szCs w:val="20"/>
        </w:rPr>
        <w:t>Sustainability Requirements and Reporting</w:t>
      </w:r>
      <w:r w:rsidR="004B5B4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E210F16"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154C85CD"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33B5D5E7"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61DBBCE2"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45EA0C42"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3EE517DE"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Barrier wall systems indicated below should only be used for storage, warehouse, and other types of facilities where moisture intrusion is acceptable.  Use one of the two above systems for all critical facilities. </w:t>
      </w:r>
      <w:r>
        <w:rPr>
          <w:rFonts w:ascii="ArialMT" w:hAnsi="ArialMT" w:cs="ArialMT"/>
          <w:b/>
          <w:bCs/>
          <w:vanish/>
          <w:color w:val="0000FF"/>
          <w:sz w:val="20"/>
          <w:szCs w:val="20"/>
        </w:rPr>
        <w:br/>
        <w:t>**********************************************************************************************************</w:t>
      </w:r>
    </w:p>
    <w:p w14:paraId="75D17BF5"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008D5DD2"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4A54DF7C"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350E799B"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075C0149"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caution when allowing or designing mixture of clay brick and concrete masonry unit veneers in same elevation. </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Their different densities, absorption, and expansion/contraction rates can yield facade cracks that might not occur otherwise</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w:t>
      </w:r>
    </w:p>
    <w:p w14:paraId="6FA9F60E"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66515B30"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5A24340D"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Provide [glass block] [[split face] [ground face] [standard] concrete masonry unit veneer] as [a [minimum] [maximum] of _____% of] the Exterior Closure.]</w:t>
      </w:r>
    </w:p>
    <w:p w14:paraId="39EDBAFA"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702AE401"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[cast-in-place] [precast] concrete water table [to match existing adjacent structures][to match Building _____].</w:t>
      </w:r>
    </w:p>
    <w:p w14:paraId="3879FCBD"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3AE1BA99"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stucco as [a [minimum] [maximum] of _____% of] the Exterior Closure.]</w:t>
      </w:r>
    </w:p>
    <w:p w14:paraId="00C0548E"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[EIFS may be used as [a [minimum] [maximum] of _____% of] the Exterior Closure.]</w:t>
      </w:r>
    </w:p>
    <w:p w14:paraId="6D787E4F"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residential construction as a way of increasing the visual appearance at a reasonable cost.</w:t>
      </w:r>
      <w:r>
        <w:rPr>
          <w:rFonts w:ascii="ArialMT" w:hAnsi="ArialMT" w:cs="ArialMT"/>
          <w:b/>
          <w:bCs/>
          <w:vanish/>
          <w:color w:val="0000FF"/>
          <w:sz w:val="20"/>
          <w:szCs w:val="20"/>
        </w:rPr>
        <w:br/>
      </w:r>
      <w:r>
        <w:rPr>
          <w:rFonts w:ascii="ArialMT" w:hAnsi="ArialMT" w:cs="ArialMT"/>
          <w:b/>
          <w:bCs/>
          <w:vanish/>
          <w:color w:val="0000FF"/>
          <w:sz w:val="20"/>
          <w:szCs w:val="20"/>
        </w:rPr>
        <w:br/>
        <w:t>Wood siding should only be used in historical applications.</w:t>
      </w:r>
      <w:r>
        <w:rPr>
          <w:rFonts w:ascii="ArialMT" w:hAnsi="ArialMT" w:cs="ArialMT"/>
          <w:b/>
          <w:bCs/>
          <w:vanish/>
          <w:color w:val="0000FF"/>
          <w:sz w:val="20"/>
          <w:szCs w:val="20"/>
        </w:rPr>
        <w:br/>
        <w:t>**********************************************************************************************************</w:t>
      </w:r>
    </w:p>
    <w:p w14:paraId="42929BC7"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0D6F0912"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siding as [a [minimum] [maximum] of _____% of] the Exterior Closure.]</w:t>
      </w:r>
    </w:p>
    <w:p w14:paraId="77BBC0F7"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vinyl siding as [a [minimum] [maximum] of _____% of] the Exterior Closure.]</w:t>
      </w:r>
    </w:p>
    <w:p w14:paraId="78E6C43B"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cementitious siding as [a [minimum] [maximum] of _____% of] the Exterior Closure.]</w:t>
      </w:r>
    </w:p>
    <w:p w14:paraId="4802F90E"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siding] [or vertical sheet panels] of manufactured faced panels system as [a [minimum] [maximum] of _____% of] the Exterior Closure.]</w:t>
      </w:r>
    </w:p>
    <w:p w14:paraId="35195E09"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293951D8"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Wall Back-up Construction System (back-up systems for Exterior Closure) including [cast-in-place concrete][pre-cast concrete][unit masonry] [metal framed][wood framed][sheathed] wall systems [with insulation] when integral with [shop fabricated wall systems][expansion control] as described below:</w:t>
      </w:r>
    </w:p>
    <w:p w14:paraId="17058564"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49DB1077"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load-bearing metal framing including top and bottom tracks, bracing, fastenings, and other accessories necessary for complete installation.  Framing members must have the structural properties indicated.  Where physical structural properties are not indicated, provide as necessary to withstand all imposed loads. Design framing in accordance with American Iron and Steel Institute (AISI) SG-673.  Install load-bearing metal framing in accordance with the Designer of Record (DOR)-approved shop drawings and manufacturer’s installation instructions.]</w:t>
      </w:r>
    </w:p>
    <w:p w14:paraId="7413757A"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298EB7C4"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632CAA26"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continuous air barrier to control air leakage into,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43886CBD"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63C06EF1"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686CFD0C"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3834ABF9"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57B63789"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047D78EF"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5C952D75"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61FDCA07"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603C574B"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written and graphic descriptions of exterior enclosure barrier materials and location within the </w:t>
      </w:r>
      <w:r>
        <w:rPr>
          <w:rFonts w:ascii="ArialMT" w:hAnsi="ArialMT" w:cs="ArialMT"/>
          <w:sz w:val="20"/>
          <w:szCs w:val="20"/>
        </w:rPr>
        <w:lastRenderedPageBreak/>
        <w:t>wall as a part of the Contractor provided design analysis.  Identify in the analysis the continuous boundary limits of the air barrier and of the zone or zones to be field tested for building air tightness.</w:t>
      </w:r>
    </w:p>
    <w:p w14:paraId="05EDAF8B"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contract drawings that indicate each exterior enclosure barrier location and the materials that make up the barriers. Detail the following barrier conditions;</w:t>
      </w:r>
    </w:p>
    <w:p w14:paraId="0A740C11" w14:textId="77777777" w:rsidR="004A059B" w:rsidRPr="004B5B4E" w:rsidRDefault="004A059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B5B4E">
        <w:rPr>
          <w:rFonts w:ascii="ArialMT" w:hAnsi="ArialMT" w:cs="ArialMT"/>
          <w:sz w:val="20"/>
          <w:szCs w:val="20"/>
        </w:rPr>
        <w:t>1.</w:t>
      </w:r>
      <w:r w:rsidRPr="004B5B4E">
        <w:rPr>
          <w:rFonts w:ascii="ArialMT" w:hAnsi="ArialMT" w:cs="ArialMT"/>
          <w:sz w:val="20"/>
          <w:szCs w:val="20"/>
        </w:rPr>
        <w:tab/>
        <w:t>Typical conditions at wall sections.</w:t>
      </w:r>
    </w:p>
    <w:p w14:paraId="20FF8DDE" w14:textId="77777777" w:rsidR="004A059B" w:rsidRPr="004B5B4E" w:rsidRDefault="004A059B">
      <w:pPr>
        <w:widowControl w:val="0"/>
        <w:autoSpaceDE w:val="0"/>
        <w:autoSpaceDN w:val="0"/>
        <w:adjustRightInd w:val="0"/>
        <w:spacing w:after="0" w:line="240" w:lineRule="auto"/>
        <w:rPr>
          <w:rFonts w:ascii="ArialMT" w:hAnsi="ArialMT" w:cs="ArialMT"/>
          <w:sz w:val="20"/>
          <w:szCs w:val="20"/>
        </w:rPr>
      </w:pPr>
    </w:p>
    <w:p w14:paraId="06F23F24" w14:textId="77777777" w:rsidR="004A059B" w:rsidRPr="004B5B4E" w:rsidRDefault="004A059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B5B4E">
        <w:rPr>
          <w:rFonts w:ascii="ArialMT" w:hAnsi="ArialMT" w:cs="ArialMT"/>
          <w:sz w:val="20"/>
          <w:szCs w:val="20"/>
        </w:rPr>
        <w:t>2.</w:t>
      </w:r>
      <w:r w:rsidRPr="004B5B4E">
        <w:rPr>
          <w:rFonts w:ascii="ArialMT" w:hAnsi="ArialMT" w:cs="ArialMT"/>
          <w:sz w:val="20"/>
          <w:szCs w:val="20"/>
        </w:rPr>
        <w:tab/>
        <w:t>Barrier treatment at wall openings.</w:t>
      </w:r>
    </w:p>
    <w:p w14:paraId="166CF21E" w14:textId="77777777" w:rsidR="004A059B" w:rsidRPr="004B5B4E" w:rsidRDefault="004A059B">
      <w:pPr>
        <w:widowControl w:val="0"/>
        <w:autoSpaceDE w:val="0"/>
        <w:autoSpaceDN w:val="0"/>
        <w:adjustRightInd w:val="0"/>
        <w:spacing w:after="0" w:line="240" w:lineRule="auto"/>
        <w:rPr>
          <w:rFonts w:ascii="ArialMT" w:hAnsi="ArialMT" w:cs="ArialMT"/>
          <w:sz w:val="20"/>
          <w:szCs w:val="20"/>
        </w:rPr>
      </w:pPr>
    </w:p>
    <w:p w14:paraId="6C91188D" w14:textId="77777777" w:rsidR="004A059B" w:rsidRPr="004B5B4E" w:rsidRDefault="004A059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B5B4E">
        <w:rPr>
          <w:rFonts w:ascii="ArialMT" w:hAnsi="ArialMT" w:cs="ArialMT"/>
          <w:sz w:val="20"/>
          <w:szCs w:val="20"/>
        </w:rPr>
        <w:t>3.</w:t>
      </w:r>
      <w:r w:rsidRPr="004B5B4E">
        <w:rPr>
          <w:rFonts w:ascii="ArialMT" w:hAnsi="ArialMT" w:cs="ArialMT"/>
          <w:sz w:val="20"/>
          <w:szCs w:val="20"/>
        </w:rPr>
        <w:tab/>
        <w:t>Intersections with other exterior enclosure assemblies and materials. Include intersections at roof and floors.</w:t>
      </w:r>
    </w:p>
    <w:p w14:paraId="1567C725" w14:textId="77777777" w:rsidR="004A059B" w:rsidRPr="004B5B4E" w:rsidRDefault="004A059B">
      <w:pPr>
        <w:widowControl w:val="0"/>
        <w:autoSpaceDE w:val="0"/>
        <w:autoSpaceDN w:val="0"/>
        <w:adjustRightInd w:val="0"/>
        <w:spacing w:after="0" w:line="240" w:lineRule="auto"/>
        <w:rPr>
          <w:rFonts w:ascii="ArialMT" w:hAnsi="ArialMT" w:cs="ArialMT"/>
          <w:sz w:val="20"/>
          <w:szCs w:val="20"/>
        </w:rPr>
      </w:pPr>
    </w:p>
    <w:p w14:paraId="494F9BE6" w14:textId="77777777" w:rsidR="004A059B" w:rsidRPr="004B5B4E" w:rsidRDefault="004A059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B5B4E">
        <w:rPr>
          <w:rFonts w:ascii="ArialMT" w:hAnsi="ArialMT" w:cs="ArialMT"/>
          <w:sz w:val="20"/>
          <w:szCs w:val="20"/>
        </w:rPr>
        <w:t>4.</w:t>
      </w:r>
      <w:r w:rsidRPr="004B5B4E">
        <w:rPr>
          <w:rFonts w:ascii="ArialMT" w:hAnsi="ArialMT" w:cs="ArialMT"/>
          <w:sz w:val="20"/>
          <w:szCs w:val="20"/>
        </w:rPr>
        <w:tab/>
        <w:t>Intersections with counter flashing.</w:t>
      </w:r>
    </w:p>
    <w:p w14:paraId="0E1CAF02" w14:textId="77777777" w:rsidR="004A059B" w:rsidRPr="004B5B4E" w:rsidRDefault="004A059B">
      <w:pPr>
        <w:widowControl w:val="0"/>
        <w:autoSpaceDE w:val="0"/>
        <w:autoSpaceDN w:val="0"/>
        <w:adjustRightInd w:val="0"/>
        <w:spacing w:after="0" w:line="240" w:lineRule="auto"/>
        <w:rPr>
          <w:rFonts w:ascii="ArialMT" w:hAnsi="ArialMT" w:cs="ArialMT"/>
          <w:sz w:val="20"/>
          <w:szCs w:val="20"/>
        </w:rPr>
      </w:pPr>
    </w:p>
    <w:p w14:paraId="7D729B24" w14:textId="77777777" w:rsidR="004A059B" w:rsidRPr="004B5B4E" w:rsidRDefault="004A059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B5B4E">
        <w:rPr>
          <w:rFonts w:ascii="ArialMT" w:hAnsi="ArialMT" w:cs="ArialMT"/>
          <w:sz w:val="20"/>
          <w:szCs w:val="20"/>
        </w:rPr>
        <w:t>5.</w:t>
      </w:r>
      <w:r w:rsidRPr="004B5B4E">
        <w:rPr>
          <w:rFonts w:ascii="ArialMT" w:hAnsi="ArialMT" w:cs="ArialMT"/>
          <w:sz w:val="20"/>
          <w:szCs w:val="20"/>
        </w:rPr>
        <w:tab/>
        <w:t>Inside and outside corners.</w:t>
      </w:r>
    </w:p>
    <w:p w14:paraId="30B6B5DB" w14:textId="77777777" w:rsidR="004A059B" w:rsidRPr="004B5B4E" w:rsidRDefault="004A059B">
      <w:pPr>
        <w:widowControl w:val="0"/>
        <w:autoSpaceDE w:val="0"/>
        <w:autoSpaceDN w:val="0"/>
        <w:adjustRightInd w:val="0"/>
        <w:spacing w:after="0" w:line="240" w:lineRule="auto"/>
        <w:rPr>
          <w:rFonts w:ascii="ArialMT" w:hAnsi="ArialMT" w:cs="ArialMT"/>
          <w:sz w:val="20"/>
          <w:szCs w:val="20"/>
        </w:rPr>
      </w:pPr>
    </w:p>
    <w:p w14:paraId="6C6B5D1C" w14:textId="77777777" w:rsidR="004A059B" w:rsidRPr="004B5B4E" w:rsidRDefault="004A059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B5B4E">
        <w:rPr>
          <w:rFonts w:ascii="ArialMT" w:hAnsi="ArialMT" w:cs="ArialMT"/>
          <w:sz w:val="20"/>
          <w:szCs w:val="20"/>
        </w:rPr>
        <w:t>6.</w:t>
      </w:r>
      <w:r w:rsidRPr="004B5B4E">
        <w:rPr>
          <w:rFonts w:ascii="ArialMT" w:hAnsi="ArialMT" w:cs="ArialMT"/>
          <w:sz w:val="20"/>
          <w:szCs w:val="20"/>
        </w:rPr>
        <w:tab/>
        <w:t>Preservation of air and water tightness at anchors for materials that cover the barrier.</w:t>
      </w:r>
    </w:p>
    <w:p w14:paraId="6DDFF11B" w14:textId="77777777" w:rsidR="004A059B" w:rsidRPr="004B5B4E" w:rsidRDefault="004A059B">
      <w:pPr>
        <w:widowControl w:val="0"/>
        <w:autoSpaceDE w:val="0"/>
        <w:autoSpaceDN w:val="0"/>
        <w:adjustRightInd w:val="0"/>
        <w:spacing w:after="0" w:line="240" w:lineRule="auto"/>
        <w:rPr>
          <w:rFonts w:ascii="ArialMT" w:hAnsi="ArialMT" w:cs="ArialMT"/>
          <w:sz w:val="20"/>
          <w:szCs w:val="20"/>
        </w:rPr>
      </w:pPr>
    </w:p>
    <w:p w14:paraId="4331956A" w14:textId="77777777" w:rsidR="004A059B" w:rsidRPr="004B5B4E" w:rsidRDefault="004A059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B5B4E">
        <w:rPr>
          <w:rFonts w:ascii="ArialMT" w:hAnsi="ArialMT" w:cs="ArialMT"/>
          <w:sz w:val="20"/>
          <w:szCs w:val="20"/>
        </w:rPr>
        <w:t>7.</w:t>
      </w:r>
      <w:r w:rsidRPr="004B5B4E">
        <w:rPr>
          <w:rFonts w:ascii="ArialMT" w:hAnsi="ArialMT" w:cs="ArialMT"/>
          <w:sz w:val="20"/>
          <w:szCs w:val="20"/>
        </w:rPr>
        <w:tab/>
        <w:t>Treatment to seal barrier penetrations such as conduits, pipes, electric boxes, and fixtures.</w:t>
      </w:r>
    </w:p>
    <w:p w14:paraId="603DE00B" w14:textId="77777777" w:rsidR="004A059B" w:rsidRPr="004B5B4E" w:rsidRDefault="004A059B">
      <w:pPr>
        <w:widowControl w:val="0"/>
        <w:autoSpaceDE w:val="0"/>
        <w:autoSpaceDN w:val="0"/>
        <w:adjustRightInd w:val="0"/>
        <w:spacing w:after="0" w:line="240" w:lineRule="auto"/>
        <w:rPr>
          <w:rFonts w:ascii="ArialMT" w:hAnsi="ArialMT" w:cs="ArialMT"/>
          <w:sz w:val="20"/>
          <w:szCs w:val="20"/>
        </w:rPr>
      </w:pPr>
    </w:p>
    <w:p w14:paraId="40C8EC59" w14:textId="77777777" w:rsidR="004A059B" w:rsidRPr="004B5B4E" w:rsidRDefault="004A059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B5B4E">
        <w:rPr>
          <w:rFonts w:ascii="ArialMT" w:hAnsi="ArialMT" w:cs="ArialMT"/>
          <w:sz w:val="20"/>
          <w:szCs w:val="20"/>
        </w:rPr>
        <w:t>8.</w:t>
      </w:r>
      <w:r w:rsidRPr="004B5B4E">
        <w:rPr>
          <w:rFonts w:ascii="ArialMT" w:hAnsi="ArialMT" w:cs="ArialMT"/>
          <w:sz w:val="20"/>
          <w:szCs w:val="20"/>
        </w:rPr>
        <w:tab/>
        <w:t>Indicate air barrier perimeter, if facility is segmented into areas that are not within the air barrier envelope.</w:t>
      </w:r>
    </w:p>
    <w:p w14:paraId="771FF0D0" w14:textId="77777777" w:rsidR="004A059B" w:rsidRPr="004B5B4E" w:rsidRDefault="004A059B">
      <w:pPr>
        <w:widowControl w:val="0"/>
        <w:autoSpaceDE w:val="0"/>
        <w:autoSpaceDN w:val="0"/>
        <w:adjustRightInd w:val="0"/>
        <w:spacing w:after="0" w:line="240" w:lineRule="auto"/>
        <w:rPr>
          <w:rFonts w:ascii="ArialMT" w:hAnsi="ArialMT" w:cs="ArialMT"/>
          <w:sz w:val="20"/>
          <w:szCs w:val="20"/>
        </w:rPr>
      </w:pPr>
    </w:p>
    <w:p w14:paraId="1F665DA4"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35231CA5"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1F0EA509"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0FDDFB80"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louvers and screens, where required, that match the finish of the existing windows and detailed to integrate with the architecture of the building, as appropriate to the design of the building.</w:t>
      </w:r>
    </w:p>
    <w:p w14:paraId="52061DF0"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4FB7621E"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493C023F"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[[manually] [electrically] operated roll type ]storm shutters for all exterior windows [and doors].]</w:t>
      </w:r>
    </w:p>
    <w:p w14:paraId="1E2F1390"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0F0E4BA4"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Use a gypsum board soffit for low cost residential construction, when budget is the sole criteria.</w:t>
      </w:r>
      <w:r>
        <w:rPr>
          <w:rFonts w:ascii="ArialMT" w:hAnsi="ArialMT" w:cs="ArialMT"/>
          <w:b/>
          <w:bCs/>
          <w:vanish/>
          <w:color w:val="0000FF"/>
          <w:sz w:val="20"/>
          <w:szCs w:val="20"/>
        </w:rPr>
        <w:br/>
        <w:t>**********************************************************************************************************</w:t>
      </w:r>
    </w:p>
    <w:p w14:paraId="32787B44"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531DAB61"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soffit system [metal] [vinyl] [painted exterior grade gypsum board].</w:t>
      </w:r>
    </w:p>
    <w:p w14:paraId="3444939D"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B201009 EXTERIOR PAINTING AND COATINGS </w:t>
      </w:r>
    </w:p>
    <w:p w14:paraId="45DFACAD"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30F03CFE"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0B60B571"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finish material installation. </w:t>
      </w:r>
    </w:p>
    <w:p w14:paraId="181D6960"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3B6039A1"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[fixed] [horizontal] [vertical] [operable] [demountable] type.  Detail sun control devices to integrate with the architectural wall system.]</w:t>
      </w:r>
    </w:p>
    <w:p w14:paraId="758FA057"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2207150E"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04BF7FD9"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41985F6E"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windows in each area of the building that is regularly occupied, to enhance the working environment, without compromising visual acuity and comfort.]  [Natural daylighting is [not] preferred, except at the entry and ________.]  Exterior windows must be [prefinished aluminum] [plastic] [vinyl or aluminum-clad wood] [primed and painted wood].  [Windows shall meet Antiterrorism requirements.]</w:t>
      </w:r>
    </w:p>
    <w:p w14:paraId="0D91D043"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2DEF50E4"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Determine the construction of security windows by evaluating the project program security requirements, using the Military Handbook (MIL-HDBK) 1013/1A, </w:t>
      </w:r>
      <w:r>
        <w:rPr>
          <w:rFonts w:ascii="ArialMT" w:hAnsi="ArialMT" w:cs="ArialMT"/>
          <w:i/>
          <w:iCs/>
          <w:sz w:val="20"/>
          <w:szCs w:val="20"/>
        </w:rPr>
        <w:t>Design Guidance for Physical Security of Facilities</w:t>
      </w:r>
      <w:r>
        <w:rPr>
          <w:rFonts w:ascii="ArialMT" w:hAnsi="ArialMT" w:cs="ArialMT"/>
          <w:sz w:val="20"/>
          <w:szCs w:val="20"/>
        </w:rPr>
        <w:t>, to define window requirements.</w:t>
      </w:r>
    </w:p>
    <w:p w14:paraId="50FEF74B"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[aluminum] [ plastic, or wood] [operable] [fixed] windows. </w:t>
      </w:r>
    </w:p>
    <w:p w14:paraId="6061E87D"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integral insect screens for all operable windows.]</w:t>
      </w:r>
    </w:p>
    <w:p w14:paraId="2720E0FF"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combination window unit for the project [to be used for a field mockup test of compliance with American Architectural Manufacturers Association (AAMA) 502 Method A and Method B].]</w:t>
      </w:r>
    </w:p>
    <w:p w14:paraId="33646B75"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B5B4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UFC 4-024-10, </w:t>
      </w:r>
      <w:r>
        <w:rPr>
          <w:rFonts w:ascii="ArialMT" w:hAnsi="ArialMT" w:cs="ArialMT"/>
          <w:b/>
          <w:bCs/>
          <w:i/>
          <w:iCs/>
          <w:vanish/>
          <w:color w:val="0000FF"/>
          <w:sz w:val="20"/>
          <w:szCs w:val="20"/>
        </w:rPr>
        <w:t>Security Engineering to Resist Forced Entry</w:t>
      </w:r>
      <w:r>
        <w:rPr>
          <w:rFonts w:ascii="ArialMT" w:hAnsi="ArialMT" w:cs="ArialMT"/>
          <w:b/>
          <w:bCs/>
          <w:vanish/>
          <w:color w:val="0000FF"/>
          <w:sz w:val="20"/>
          <w:szCs w:val="20"/>
        </w:rPr>
        <w:t>, is in preparation to replace MIL-HDBK 1013/A.</w:t>
      </w:r>
      <w:r>
        <w:rPr>
          <w:rFonts w:ascii="ArialMT" w:hAnsi="ArialMT" w:cs="ArialMT"/>
          <w:b/>
          <w:bCs/>
          <w:vanish/>
          <w:color w:val="0000FF"/>
          <w:sz w:val="20"/>
          <w:szCs w:val="20"/>
        </w:rPr>
        <w:br/>
        <w:t>**********************************************************************************************************</w:t>
      </w:r>
    </w:p>
    <w:p w14:paraId="2E7B32A9"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475337FD"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5E97C065"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[aluminum] [steel] [wood] storefronts.</w:t>
      </w:r>
    </w:p>
    <w:p w14:paraId="7EBCDA93"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B202003 CURTAIN WALLS </w:t>
      </w:r>
    </w:p>
    <w:p w14:paraId="2E1A2B38"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curtain wall is a reinforced window wall that spans more than one story in height.</w:t>
      </w:r>
    </w:p>
    <w:p w14:paraId="3CF8D9E3"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Test method ASTM E 331 is a dynamic test for determining resistance of the curtain wall to water penetration under uniform static air pressure difference, in a closed chamber.  The availability of facilities for conducting dynamic testing is very limited and should be checked before specifying this type of test. </w:t>
      </w:r>
      <w:r>
        <w:rPr>
          <w:rFonts w:ascii="ArialMT" w:hAnsi="ArialMT" w:cs="ArialMT"/>
          <w:b/>
          <w:bCs/>
          <w:vanish/>
          <w:color w:val="0000FF"/>
          <w:sz w:val="20"/>
          <w:szCs w:val="20"/>
        </w:rPr>
        <w:br/>
        <w:t xml:space="preserve"> </w:t>
      </w:r>
      <w:r>
        <w:rPr>
          <w:rFonts w:ascii="ArialMT" w:hAnsi="ArialMT" w:cs="ArialMT"/>
          <w:b/>
          <w:bCs/>
          <w:vanish/>
          <w:color w:val="0000FF"/>
          <w:sz w:val="20"/>
          <w:szCs w:val="20"/>
        </w:rPr>
        <w:br/>
        <w:t>When testing under field conditions is required, the AAMA Specification test method should be referenced.  Specify the precise number of field tests that will be required.</w:t>
      </w:r>
      <w:r>
        <w:rPr>
          <w:rFonts w:ascii="ArialMT" w:hAnsi="ArialMT" w:cs="ArialMT"/>
          <w:b/>
          <w:bCs/>
          <w:vanish/>
          <w:color w:val="0000FF"/>
          <w:sz w:val="20"/>
          <w:szCs w:val="20"/>
        </w:rPr>
        <w:br/>
        <w:t>**********************************************************************************************************</w:t>
      </w:r>
    </w:p>
    <w:p w14:paraId="31CBAB70"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6D7CB696"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multi-story glazed curtain wall system.  </w:t>
      </w:r>
    </w:p>
    <w:p w14:paraId="64757C98"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standard architectural type [Stick] [Unit] [Unit and Mullion] system, with mullions, horizontal rails, [and] or non-integral spandrel panels.  Fully coordinate system accessories directly incorporated and adjacent to contiguous related work and insure materials compatibility, deflection limitations, thermal movements, and clearances and tolerances.  </w:t>
      </w:r>
    </w:p>
    <w:p w14:paraId="0A39C6D6"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that is [totally glazed] [or] [a combination of glazed panels and opaque panels].  For design purposes, base provisions for thermal movement on assumed ambient temperature range of from [_____] degrees F ([_____] degrees C) to [_____] degrees F ([_____] degrees C). Source of the ambient temperature data is [UFC 3-400-02, </w:t>
      </w:r>
      <w:r>
        <w:rPr>
          <w:rFonts w:ascii="ArialMT" w:hAnsi="ArialMT" w:cs="ArialMT"/>
          <w:i/>
          <w:iCs/>
          <w:sz w:val="20"/>
          <w:szCs w:val="20"/>
        </w:rPr>
        <w:t>Engineering Weather Data</w:t>
      </w:r>
      <w:r>
        <w:rPr>
          <w:rFonts w:ascii="ArialMT" w:hAnsi="ArialMT" w:cs="ArialMT"/>
          <w:sz w:val="20"/>
          <w:szCs w:val="20"/>
        </w:rPr>
        <w:t>] [National Oceanic and Atmospheric Administration (NOAA)] [___].</w:t>
      </w:r>
    </w:p>
    <w:p w14:paraId="658DBDA2"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mockup of one [1] designated Curtain Wall System unit for the project [to be used for a </w:t>
      </w:r>
      <w:r>
        <w:rPr>
          <w:rFonts w:ascii="ArialMT" w:hAnsi="ArialMT" w:cs="ArialMT"/>
          <w:sz w:val="20"/>
          <w:szCs w:val="20"/>
        </w:rPr>
        <w:lastRenderedPageBreak/>
        <w:t>field test of compliance with AAMA 503 Method A and Method B].]</w:t>
      </w:r>
    </w:p>
    <w:p w14:paraId="09B0CB0B"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5E6A1AA5"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278D07E1"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687417B4"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glazing with a [___] color [matching existing adjacent buildings].  Where bullet resistant glazing is required the materials must be listed by Underwriters Laboratories (UL) as bullet resisting, with a power rating of [Medium--Small Arms] [High--Small Arms] [Super--Small Arms] [High--Rifle] in accordance with Underwriters Laboratories (UL) 752.]</w:t>
      </w:r>
    </w:p>
    <w:p w14:paraId="48BE53D8"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48A35E2F"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3E610D50"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[heat absorbing glass][wireglass][insulating glass units][laminated glass][tempered glass][bullet resisting glass][patterned glass][spandrel glass][spandrel glass with adhered backing][plastic glazing][bullet resistant plastic sheet][acrylic sheet glazing][polycarbonate sheet glazing][and][or][fragment retention] type glazing.  </w:t>
      </w:r>
    </w:p>
    <w:p w14:paraId="2C48808B"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B202090 OTHER EXTERIOR WINDOWS </w:t>
      </w:r>
    </w:p>
    <w:p w14:paraId="74781D19"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operable tray pass windows at [__________]. </w:t>
      </w:r>
    </w:p>
    <w:p w14:paraId="3F0148A9"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2F4D498C"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door assemblies other than at the main entrance. Exterior doors and frames must be non-corroding [prefinished] [galvanized steel] [prefinished aluminum] [prefinished stainless steel] [prefinished bronze].</w:t>
      </w:r>
    </w:p>
    <w:p w14:paraId="430B44A5"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Standard Duty Doors - American National Standards Institute/Steel Door Institute (ANSI/SDI) A250.8, Level 1, physical performance Level C, Model [1] [2]]</w:t>
      </w:r>
    </w:p>
    <w:p w14:paraId="22553E0B"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Heavy Duty Doors - American National Standards Institute/Steel Door Institute (ANSI/SDI) A250.8, Level 2, physical performance Level B, Model [1] [2].]</w:t>
      </w:r>
    </w:p>
    <w:p w14:paraId="3B39E624"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Extra Heavy Duty Doors -– American National Standards Institute/Steel Door Institute (ANSI/SDI) A250.8, Level 3, physical performance Level A, Model [1] [2] [3].]</w:t>
      </w:r>
    </w:p>
    <w:p w14:paraId="373ECB1F"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Maximum Duty Doors -– American National Standards Institute/Steel Door Institute (ANSI/SDI) A250.8, Level 4, physical performance Level A, Model [1] [2].]</w:t>
      </w:r>
    </w:p>
    <w:p w14:paraId="7F032825"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glazing that matches the window glazing.]</w:t>
      </w:r>
    </w:p>
    <w:p w14:paraId="37280303"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15084F67"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[steel][fiberglass reinforced plastic (FRP)] [wood]  door assemblies other than at main storefront/curtainwall entrances including [painted] [prefinished] [zinc coated] [galvanized] heavy-duty, non-corroding, [insulated] doors with [frames] and hardware.</w:t>
      </w:r>
    </w:p>
    <w:p w14:paraId="7ADAD691"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doors with [rotary cut][book matched][random match (only for veneer on painted doors)] hardwood veneers.  Edge bands must be wood.  Also provide [louvers] [and] [accessories] and wall opening elements such as [lintels] [sills] and [flashings].</w:t>
      </w:r>
    </w:p>
    <w:p w14:paraId="386662B3"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4AE547C4"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 Doors - Provide Exterior Glazed Doors and Entrances System. including [factory-finish] [painted] [wood framed] [all glass] [aluminum framed] [steel framed] [stainless steel framed] [bronze framed] door assemblies with [insulated], [tinted] [glazing], frames, and hardware [compatible with </w:t>
      </w:r>
      <w:r>
        <w:rPr>
          <w:rFonts w:ascii="ArialMT" w:hAnsi="ArialMT" w:cs="ArialMT"/>
          <w:sz w:val="20"/>
          <w:szCs w:val="20"/>
        </w:rPr>
        <w:lastRenderedPageBreak/>
        <w:t xml:space="preserve">other buildings on the base] and wall opening elements such as lintels, sills, through-wall flashings, and joint sealers. </w:t>
      </w:r>
    </w:p>
    <w:p w14:paraId="58FF02C4"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4A1A0DDE"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Special sliding, exterior folding, or telescoping doors need to be added to RFP Part 3 and RFP Part 4.</w:t>
      </w:r>
      <w:r>
        <w:rPr>
          <w:rFonts w:ascii="ArialMT" w:hAnsi="ArialMT" w:cs="ArialMT"/>
          <w:b/>
          <w:bCs/>
          <w:vanish/>
          <w:color w:val="0000FF"/>
          <w:sz w:val="20"/>
          <w:szCs w:val="20"/>
        </w:rPr>
        <w:br/>
        <w:t>**********************************************************************************************************</w:t>
      </w:r>
    </w:p>
    <w:p w14:paraId="6492D05E"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6F50945E"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doors and opening for [automobile] [___] entrance.  Provide lockable doors with [manual operation] [automatic operation with protected pushbuttons electric controls]. </w:t>
      </w:r>
    </w:p>
    <w:p w14:paraId="0158BB69"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Doors for Apparatus Bay entrances (vehicular) [and Vehicle Maintenance Bay (vehicular) entrances] must be remote radio-controlled from the vehicular equipment with additional remote activation as noted in Specific Design Criteria of the UFC 4-730-10N. Provide Apparatus Bay doors with the options as indicated in Part 3, Chapter 5 "Room Requirements".</w:t>
      </w:r>
    </w:p>
    <w:p w14:paraId="441A55EE"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415F5A70"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021D4ADD"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38CDC166"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a. 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b. Commercial.  Intended for vehicular use at entrances of commercial buildings such as loading docks, service stations, parking garages and manufacturing plants, normally expected to be operated but not limited to less than 5,000 cycles per year.</w:t>
      </w:r>
    </w:p>
    <w:p w14:paraId="488139FA"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209A0716" w14:textId="77777777" w:rsidR="004A059B" w:rsidRDefault="004A05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500E939C" w14:textId="77777777" w:rsidR="004A059B" w:rsidRDefault="004A059B">
      <w:pPr>
        <w:widowControl w:val="0"/>
        <w:autoSpaceDE w:val="0"/>
        <w:autoSpaceDN w:val="0"/>
        <w:adjustRightInd w:val="0"/>
        <w:spacing w:after="0" w:line="240" w:lineRule="auto"/>
        <w:rPr>
          <w:rFonts w:ascii="ArialMT" w:hAnsi="ArialMT" w:cs="ArialMT"/>
          <w:vanish/>
          <w:sz w:val="20"/>
          <w:szCs w:val="20"/>
        </w:rPr>
      </w:pPr>
    </w:p>
    <w:p w14:paraId="5A419F7D"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overhead sectional doors that conform to [Residential] [Commercial]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7 and operate normally.]]  </w:t>
      </w:r>
    </w:p>
    <w:p w14:paraId="229053C1"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overhead roll-up doors.  Provide [polyester] [powder coat] painted finish with custom colors for the door and accessories to match facility color scheme. [Design the steel overhead roll-up slats and door width to withstanding the design wind loading of ASCE 7 and operate normally].] </w:t>
      </w:r>
    </w:p>
    <w:p w14:paraId="15E9E8AF"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B203008 EXTERIOR DOOR HARDWARE </w:t>
      </w:r>
    </w:p>
    <w:p w14:paraId="499045AF"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3ECE28AF"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[___] keying system.] [Provide replacement interchangeable cores compatible with the Best Lock system.]]</w:t>
      </w:r>
    </w:p>
    <w:p w14:paraId="05FBA0D0"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2154F9DF"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 type card key system.  Provide the services of a certified door hardware consultant to prepare the door hardware schedule. </w:t>
      </w:r>
    </w:p>
    <w:p w14:paraId="54029D3A"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hardware finish of [chrome-plated brass or bronze, or stainless steel] [brass or bronze].</w:t>
      </w:r>
    </w:p>
    <w:p w14:paraId="0356A346" w14:textId="77777777" w:rsidR="004A059B" w:rsidRDefault="004A05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B203090 OTHER EXTERIOR SPECIALTY DOORS </w:t>
      </w:r>
    </w:p>
    <w:p w14:paraId="2DC268CE"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[swinging] [sliding] entrance doors at the main entrance to the building.]</w:t>
      </w:r>
    </w:p>
    <w:p w14:paraId="163B7F67" w14:textId="77777777" w:rsidR="004A059B" w:rsidRDefault="004A05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4A059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095BC" w14:textId="77777777" w:rsidR="00B37B32" w:rsidRDefault="00B37B32">
      <w:pPr>
        <w:spacing w:after="0" w:line="240" w:lineRule="auto"/>
      </w:pPr>
      <w:r>
        <w:separator/>
      </w:r>
    </w:p>
  </w:endnote>
  <w:endnote w:type="continuationSeparator" w:id="0">
    <w:p w14:paraId="5F1827BA" w14:textId="77777777" w:rsidR="00B37B32" w:rsidRDefault="00B37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D942F" w14:textId="77777777" w:rsidR="004A059B" w:rsidRDefault="004A059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1026D" w14:textId="77777777" w:rsidR="00B37B32" w:rsidRDefault="00B37B32">
      <w:pPr>
        <w:spacing w:after="0" w:line="240" w:lineRule="auto"/>
      </w:pPr>
      <w:r>
        <w:separator/>
      </w:r>
    </w:p>
  </w:footnote>
  <w:footnote w:type="continuationSeparator" w:id="0">
    <w:p w14:paraId="06FE89DB" w14:textId="77777777" w:rsidR="00B37B32" w:rsidRDefault="00B37B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F370E" w14:textId="77777777" w:rsidR="004A059B" w:rsidRDefault="004A059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Station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B4E"/>
    <w:rsid w:val="00001A82"/>
    <w:rsid w:val="004A059B"/>
    <w:rsid w:val="004B5B4E"/>
    <w:rsid w:val="00B37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F26448"/>
  <w14:defaultImageDpi w14:val="0"/>
  <w15:docId w15:val="{5DFCA6D3-7561-411D-B39B-09CDDF3AF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4017</Words>
  <Characters>22898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2024-06-20T17:46:00Z</dcterms:created>
  <dcterms:modified xsi:type="dcterms:W3CDTF">2024-06-20T17:46:00Z</dcterms:modified>
  <cp:category>Design Build</cp:category>
</cp:coreProperties>
</file>