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8DD61" w14:textId="77777777" w:rsidR="00551E30" w:rsidRDefault="00551E30">
      <w:pPr>
        <w:widowControl w:val="0"/>
        <w:autoSpaceDE w:val="0"/>
        <w:autoSpaceDN w:val="0"/>
        <w:adjustRightInd w:val="0"/>
        <w:spacing w:after="0" w:line="240" w:lineRule="auto"/>
        <w:rPr>
          <w:rFonts w:ascii="Times New Roman" w:hAnsi="Times New Roman"/>
          <w:sz w:val="24"/>
          <w:szCs w:val="24"/>
        </w:rPr>
      </w:pPr>
    </w:p>
    <w:p w14:paraId="00A19A8C" w14:textId="77777777" w:rsidR="00551E30" w:rsidRDefault="00551E3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2B2AB33" w14:textId="77777777" w:rsidR="00551E30" w:rsidRDefault="00551E3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2B5EA22A"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87FF401"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0FC0C6E6"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19B14AF"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65756114"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631A1E7F"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C10CCFE"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2B952AD4"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1498D8EA"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6C650F0"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11BEF6A"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67BC8262"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45E2D161"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29873FAB"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44A25D43"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23E09A86"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[480Y/277 volt] [208Y/120 volt] [120/240 volt], [three] [single] phase, [four] [three] wire, [60] [50]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to a [Unit Substation] [Pad Mounted Transformer] [SF6 Insulated Pad Mounted Interrupter Switchgear] [     ].</w:t>
      </w:r>
    </w:p>
    <w:p w14:paraId="7A94CF95"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39EC7D37"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408C8B03"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6ABDB85F"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0B56FCE4"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23306B48"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13906254"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2518FAB2"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4A5651C2"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6C8B6A2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3B750D00" w14:textId="77777777" w:rsidR="00551E30" w:rsidRDefault="00551E30">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14808BF3" w14:textId="77777777" w:rsidR="00551E30" w:rsidRPr="004948BE" w:rsidRDefault="00551E30">
      <w:pPr>
        <w:widowControl w:val="0"/>
        <w:autoSpaceDE w:val="0"/>
        <w:autoSpaceDN w:val="0"/>
        <w:adjustRightInd w:val="0"/>
        <w:spacing w:after="0" w:line="240" w:lineRule="auto"/>
        <w:rPr>
          <w:rFonts w:ascii="ArialMT" w:hAnsi="ArialMT" w:cs="ArialMT"/>
          <w:sz w:val="20"/>
          <w:szCs w:val="20"/>
        </w:rPr>
      </w:pPr>
    </w:p>
    <w:p w14:paraId="22859FAD" w14:textId="77777777" w:rsidR="00551E30" w:rsidRPr="004948BE" w:rsidRDefault="00551E3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948BE">
        <w:rPr>
          <w:rFonts w:ascii="ArialMT" w:hAnsi="ArialMT" w:cs="ArialMT"/>
          <w:sz w:val="20"/>
          <w:szCs w:val="20"/>
        </w:rPr>
        <w:t>2.</w:t>
      </w:r>
      <w:r w:rsidRPr="004948BE">
        <w:rPr>
          <w:rFonts w:ascii="ArialMT" w:hAnsi="ArialMT" w:cs="ArialMT"/>
          <w:sz w:val="20"/>
          <w:szCs w:val="20"/>
        </w:rPr>
        <w:tab/>
        <w:t>[Radial feed switch] [Loop feed switch]</w:t>
      </w:r>
    </w:p>
    <w:p w14:paraId="7B4B84BD" w14:textId="77777777" w:rsidR="00551E30" w:rsidRPr="004948BE" w:rsidRDefault="00551E30">
      <w:pPr>
        <w:widowControl w:val="0"/>
        <w:autoSpaceDE w:val="0"/>
        <w:autoSpaceDN w:val="0"/>
        <w:adjustRightInd w:val="0"/>
        <w:spacing w:after="0" w:line="240" w:lineRule="auto"/>
        <w:rPr>
          <w:rFonts w:ascii="ArialMT" w:hAnsi="ArialMT" w:cs="ArialMT"/>
          <w:sz w:val="20"/>
          <w:szCs w:val="20"/>
        </w:rPr>
      </w:pPr>
    </w:p>
    <w:p w14:paraId="1B303F26" w14:textId="77777777" w:rsidR="00551E30" w:rsidRPr="004948BE" w:rsidRDefault="00551E3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948BE">
        <w:rPr>
          <w:rFonts w:ascii="ArialMT" w:hAnsi="ArialMT" w:cs="ArialMT"/>
          <w:sz w:val="20"/>
          <w:szCs w:val="20"/>
        </w:rPr>
        <w:t>3.</w:t>
      </w:r>
      <w:r w:rsidRPr="004948BE">
        <w:rPr>
          <w:rFonts w:ascii="ArialMT" w:hAnsi="ArialMT" w:cs="ArialMT"/>
          <w:sz w:val="20"/>
          <w:szCs w:val="20"/>
        </w:rPr>
        <w:tab/>
        <w:t>[Feed-thru inserts]</w:t>
      </w:r>
    </w:p>
    <w:p w14:paraId="24F34B48" w14:textId="77777777" w:rsidR="00551E30" w:rsidRPr="004948BE" w:rsidRDefault="00551E30">
      <w:pPr>
        <w:widowControl w:val="0"/>
        <w:autoSpaceDE w:val="0"/>
        <w:autoSpaceDN w:val="0"/>
        <w:adjustRightInd w:val="0"/>
        <w:spacing w:after="0" w:line="240" w:lineRule="auto"/>
        <w:rPr>
          <w:rFonts w:ascii="ArialMT" w:hAnsi="ArialMT" w:cs="ArialMT"/>
          <w:sz w:val="20"/>
          <w:szCs w:val="20"/>
        </w:rPr>
      </w:pPr>
    </w:p>
    <w:p w14:paraId="249BBEA8" w14:textId="77777777" w:rsidR="00551E30" w:rsidRPr="004948BE" w:rsidRDefault="00551E3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948BE">
        <w:rPr>
          <w:rFonts w:ascii="ArialMT" w:hAnsi="ArialMT" w:cs="ArialMT"/>
          <w:sz w:val="20"/>
          <w:szCs w:val="20"/>
        </w:rPr>
        <w:t>4.</w:t>
      </w:r>
      <w:r w:rsidRPr="004948BE">
        <w:rPr>
          <w:rFonts w:ascii="ArialMT" w:hAnsi="ArialMT" w:cs="ArialMT"/>
          <w:sz w:val="20"/>
          <w:szCs w:val="20"/>
        </w:rPr>
        <w:tab/>
        <w:t>[Three surge arresters for radial feed circuits.] [[Three] [Six] surge arresters for loop feed circuits.]</w:t>
      </w:r>
    </w:p>
    <w:p w14:paraId="05EE0109" w14:textId="77777777" w:rsidR="00551E30" w:rsidRPr="004948BE" w:rsidRDefault="00551E30">
      <w:pPr>
        <w:widowControl w:val="0"/>
        <w:autoSpaceDE w:val="0"/>
        <w:autoSpaceDN w:val="0"/>
        <w:adjustRightInd w:val="0"/>
        <w:spacing w:after="0" w:line="240" w:lineRule="auto"/>
        <w:rPr>
          <w:rFonts w:ascii="ArialMT" w:hAnsi="ArialMT" w:cs="ArialMT"/>
          <w:sz w:val="20"/>
          <w:szCs w:val="20"/>
        </w:rPr>
      </w:pPr>
    </w:p>
    <w:p w14:paraId="16AA6D1F" w14:textId="77777777" w:rsidR="00551E30" w:rsidRPr="004948BE" w:rsidRDefault="00551E30">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948BE">
        <w:rPr>
          <w:rFonts w:ascii="ArialMT" w:hAnsi="ArialMT" w:cs="ArialMT"/>
          <w:sz w:val="20"/>
          <w:szCs w:val="20"/>
        </w:rPr>
        <w:t>5.</w:t>
      </w:r>
      <w:r w:rsidRPr="004948BE">
        <w:rPr>
          <w:rFonts w:ascii="ArialMT" w:hAnsi="ArialMT" w:cs="ArialMT"/>
          <w:sz w:val="20"/>
          <w:szCs w:val="20"/>
        </w:rPr>
        <w:tab/>
        <w:t>[Biodegradable less-flammable liquid-insulated]</w:t>
      </w:r>
    </w:p>
    <w:p w14:paraId="2328F03E" w14:textId="77777777" w:rsidR="00551E30" w:rsidRPr="004948BE" w:rsidRDefault="00551E30">
      <w:pPr>
        <w:widowControl w:val="0"/>
        <w:autoSpaceDE w:val="0"/>
        <w:autoSpaceDN w:val="0"/>
        <w:adjustRightInd w:val="0"/>
        <w:spacing w:after="0" w:line="240" w:lineRule="auto"/>
        <w:rPr>
          <w:rFonts w:ascii="ArialMT" w:hAnsi="ArialMT" w:cs="ArialMT"/>
          <w:sz w:val="20"/>
          <w:szCs w:val="20"/>
        </w:rPr>
      </w:pPr>
    </w:p>
    <w:p w14:paraId="749533EA"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1AF59D75"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5BA6584F"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overhead pole mounted transformer[s] on pole[s] [   </w:t>
      </w:r>
      <w:proofErr w:type="gramStart"/>
      <w:r>
        <w:rPr>
          <w:rFonts w:ascii="ArialMT" w:hAnsi="ArialMT" w:cs="ArialMT"/>
          <w:sz w:val="20"/>
          <w:szCs w:val="20"/>
        </w:rPr>
        <w:t xml:space="preserve">  ]</w:t>
      </w:r>
      <w:proofErr w:type="gramEnd"/>
      <w:r>
        <w:rPr>
          <w:rFonts w:ascii="ArialMT" w:hAnsi="ArialMT" w:cs="ArialMT"/>
          <w:sz w:val="20"/>
          <w:szCs w:val="20"/>
        </w:rPr>
        <w:t xml:space="preserve"> to feed the facility.]</w:t>
      </w:r>
    </w:p>
    <w:p w14:paraId="1796C17E"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G401003 SWITCHES, CONTROLS AND DEVICES </w:t>
      </w:r>
    </w:p>
    <w:p w14:paraId="0D89BCBE"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781A80D0"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2BCCA9D1"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[SF6 Insulated Pad Mounted Switchgear] [sectionalizing cabinets] configured with the existing overhead and or underground distribution system as follows: [   </w:t>
      </w:r>
      <w:proofErr w:type="gramStart"/>
      <w:r>
        <w:rPr>
          <w:rFonts w:ascii="ArialMT" w:hAnsi="ArialMT" w:cs="ArialMT"/>
          <w:sz w:val="20"/>
          <w:szCs w:val="20"/>
        </w:rPr>
        <w:t xml:space="preserve">  ]</w:t>
      </w:r>
      <w:proofErr w:type="gramEnd"/>
      <w:r>
        <w:rPr>
          <w:rFonts w:ascii="ArialMT" w:hAnsi="ArialMT" w:cs="ArialMT"/>
          <w:sz w:val="20"/>
          <w:szCs w:val="20"/>
        </w:rPr>
        <w:t>.</w:t>
      </w:r>
    </w:p>
    <w:p w14:paraId="659B934F"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1C6F3C7B"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26FFB0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pole top switch[es]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4CFED652"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recloser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6770F568"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w:t>
      </w:r>
      <w:proofErr w:type="spellStart"/>
      <w:r>
        <w:rPr>
          <w:rFonts w:ascii="ArialMT" w:hAnsi="ArialMT" w:cs="ArialMT"/>
          <w:sz w:val="20"/>
          <w:szCs w:val="20"/>
        </w:rPr>
        <w:t>sectionalizer</w:t>
      </w:r>
      <w:proofErr w:type="spellEnd"/>
      <w:r>
        <w:rPr>
          <w:rFonts w:ascii="ArialMT" w:hAnsi="ArialMT" w:cs="ArialMT"/>
          <w:sz w:val="20"/>
          <w:szCs w:val="20"/>
        </w:rPr>
        <w:t xml:space="preserve">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73838D04"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18C5C46C"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760D2159"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0C5436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w:t>
      </w:r>
    </w:p>
    <w:p w14:paraId="5AB87C3F"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72835A05"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[wood][concrete] [    </w:t>
      </w:r>
      <w:proofErr w:type="gramStart"/>
      <w:r>
        <w:rPr>
          <w:rFonts w:ascii="ArialMT" w:hAnsi="ArialMT" w:cs="ArialMT"/>
          <w:sz w:val="20"/>
          <w:szCs w:val="20"/>
        </w:rPr>
        <w:t xml:space="preserve">  ]</w:t>
      </w:r>
      <w:proofErr w:type="gramEnd"/>
      <w:r>
        <w:rPr>
          <w:rFonts w:ascii="ArialMT" w:hAnsi="ArialMT" w:cs="ArialMT"/>
          <w:sz w:val="20"/>
          <w:szCs w:val="20"/>
        </w:rPr>
        <w:t xml:space="preserve"> poles for overhead power distribution.]</w:t>
      </w:r>
    </w:p>
    <w:p w14:paraId="3421698E"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00DB2A42"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[medium voltage] [and] [a] [</w:t>
      </w:r>
      <w:proofErr w:type="gramStart"/>
      <w:r>
        <w:rPr>
          <w:rFonts w:ascii="ArialMT" w:hAnsi="ArialMT" w:cs="ArialMT"/>
          <w:sz w:val="20"/>
          <w:szCs w:val="20"/>
        </w:rPr>
        <w:t>600</w:t>
      </w:r>
      <w:proofErr w:type="gramEnd"/>
      <w:r>
        <w:rPr>
          <w:rFonts w:ascii="ArialMT" w:hAnsi="ArialMT" w:cs="ArialMT"/>
          <w:sz w:val="20"/>
          <w:szCs w:val="20"/>
        </w:rPr>
        <w:t xml:space="preserve"> volt secondary] underground electrical power distribution systems to meet the connection requirements as indicated in paragraph G4010 "Electrical Distribution".   Provide fused cut-outs on connections to overhead distribution systems. </w:t>
      </w:r>
    </w:p>
    <w:p w14:paraId="72F0C5E5"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19E4CA92"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handholes and manholes for all underground power wiring.] [Provide a direct buried underground power distribution system.]</w:t>
      </w:r>
    </w:p>
    <w:p w14:paraId="793C0319"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Government-Furnished Vehicle Inspection Equipment. Refer to the NAVFAC Physical Security Equipment List for applicable inspection equipment technology. Verify selection of equipment during RFP development meeting with Base security personnel.</w:t>
      </w:r>
      <w:r>
        <w:rPr>
          <w:rFonts w:ascii="ArialMT" w:hAnsi="ArialMT" w:cs="ArialMT"/>
          <w:b/>
          <w:bCs/>
          <w:vanish/>
          <w:color w:val="0000FF"/>
          <w:sz w:val="20"/>
          <w:szCs w:val="20"/>
        </w:rPr>
        <w:br/>
        <w:t>**********************************************************************************************************</w:t>
      </w:r>
    </w:p>
    <w:p w14:paraId="0E4FE1E7"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299A0C4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empty concrete encased </w:t>
      </w:r>
      <w:proofErr w:type="spellStart"/>
      <w:r>
        <w:rPr>
          <w:rFonts w:ascii="ArialMT" w:hAnsi="ArialMT" w:cs="ArialMT"/>
          <w:sz w:val="20"/>
          <w:szCs w:val="20"/>
        </w:rPr>
        <w:t>ductbanks</w:t>
      </w:r>
      <w:proofErr w:type="spellEnd"/>
      <w:r>
        <w:rPr>
          <w:rFonts w:ascii="ArialMT" w:hAnsi="ArialMT" w:cs="ArialMT"/>
          <w:sz w:val="20"/>
          <w:szCs w:val="20"/>
        </w:rPr>
        <w:t>, [direct buried distribution conduits,] handholes to enable system installation by the vehicle inspection equipment provider.]</w:t>
      </w:r>
    </w:p>
    <w:p w14:paraId="15D68DFD"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6311D63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3E54A5E5"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506D23D3"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06042322"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67C47BC8"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7CD9CD7"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2606E79B"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71EFF6C1"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1DDA34F7"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572E9C1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32279060"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32DA812D"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Site lighting refers to lighting typically installed on poles.  Building mounted exterior lighting and canopy lighting is covered in ESR D50.  Provide lighting for safety, security and as required by the using activity.  Ensure site lighting is compatible with security cameras during RFP development meeting. Refer to UFC 3-530-01, </w:t>
      </w:r>
      <w:r>
        <w:rPr>
          <w:rFonts w:ascii="ArialMT" w:hAnsi="ArialMT" w:cs="ArialMT"/>
          <w:b/>
          <w:bCs/>
          <w:i/>
          <w:iCs/>
          <w:vanish/>
          <w:color w:val="0000FF"/>
          <w:sz w:val="20"/>
          <w:szCs w:val="20"/>
        </w:rPr>
        <w:t>Interior and Exterior Lighting Systems and Controls</w:t>
      </w:r>
      <w:r w:rsidR="004948BE">
        <w:rPr>
          <w:rFonts w:ascii="ArialMT" w:hAnsi="ArialMT" w:cs="ArialMT"/>
          <w:b/>
          <w:bCs/>
          <w:i/>
          <w:iCs/>
          <w:vanish/>
          <w:color w:val="0000FF"/>
          <w:sz w:val="20"/>
          <w:szCs w:val="20"/>
        </w:rPr>
        <w:t xml:space="preserve"> </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039A6E13"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567D7065"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[special security],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[underground] [overhead] distribution, handholes, grounding, poles, fixtures and controls as required for a complete and usable system.</w:t>
      </w:r>
    </w:p>
    <w:p w14:paraId="254DB3F3"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30FD4247"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Adjust this section as required to comply with all exterior lighting and control needs.  Utilize SSL lighting sources (e.g., LED) for exterior lighting, except where lighting is required to match an existing source.</w:t>
      </w:r>
      <w:r>
        <w:rPr>
          <w:rFonts w:ascii="ArialMT" w:hAnsi="ArialMT" w:cs="ArialMT"/>
          <w:b/>
          <w:bCs/>
          <w:vanish/>
          <w:color w:val="0000FF"/>
          <w:sz w:val="20"/>
          <w:szCs w:val="20"/>
        </w:rPr>
        <w:br/>
        <w:t>**********************************************************************************************************</w:t>
      </w:r>
    </w:p>
    <w:p w14:paraId="7EE45ED4"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1A16DE55"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for the following locations:</w:t>
      </w:r>
    </w:p>
    <w:p w14:paraId="7A5C2B55" w14:textId="77777777" w:rsidR="00551E30" w:rsidRDefault="00551E3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Highway Lighting for Approach Zone and Response Zone [and Installation roadways]</w:t>
      </w:r>
      <w:r>
        <w:rPr>
          <w:rFonts w:ascii="ArialMT" w:hAnsi="ArialMT" w:cs="ArialMT"/>
          <w:sz w:val="20"/>
          <w:szCs w:val="20"/>
        </w:rPr>
        <w:br/>
      </w:r>
      <w:r>
        <w:rPr>
          <w:rFonts w:ascii="ArialMT" w:hAnsi="ArialMT" w:cs="ArialMT"/>
          <w:sz w:val="20"/>
          <w:szCs w:val="20"/>
        </w:rPr>
        <w:br/>
        <w:t>Area Lighting for Access Control Zone and Inspection Area[s] [and Large Commercial Vehicle/Truck Inspection Facilities]</w:t>
      </w:r>
      <w:r>
        <w:rPr>
          <w:rFonts w:ascii="ArialMT" w:hAnsi="ArialMT" w:cs="ArialMT"/>
          <w:sz w:val="20"/>
          <w:szCs w:val="20"/>
        </w:rPr>
        <w:br/>
      </w:r>
      <w:r>
        <w:rPr>
          <w:rFonts w:ascii="ArialMT" w:hAnsi="ArialMT" w:cs="ArialMT"/>
          <w:sz w:val="20"/>
          <w:szCs w:val="20"/>
        </w:rPr>
        <w:br/>
        <w:t>[Parking Lighting for Visitors Center]</w:t>
      </w:r>
    </w:p>
    <w:p w14:paraId="3CF74E85"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full cutoff or fully shielded luminaires mounted in the horizontal plane to minimize glare for motorists and security personnel. Luminaires must be [LED][induction][fluorescent</w:t>
      </w:r>
      <w:proofErr w:type="gramStart"/>
      <w:r>
        <w:rPr>
          <w:rFonts w:ascii="ArialMT" w:hAnsi="ArialMT" w:cs="ArialMT"/>
          <w:sz w:val="20"/>
          <w:szCs w:val="20"/>
        </w:rPr>
        <w:t>][</w:t>
      </w:r>
      <w:proofErr w:type="gramEnd"/>
      <w:r>
        <w:rPr>
          <w:rFonts w:ascii="ArialMT" w:hAnsi="ArialMT" w:cs="ArialMT"/>
          <w:sz w:val="20"/>
          <w:szCs w:val="20"/>
        </w:rPr>
        <w:t>metal halide] type lighting fixtures, complete with lamps.]</w:t>
      </w:r>
    </w:p>
    <w:p w14:paraId="768C1AD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individually zoned, lighting control system for exterior lighting fixtures in the Approach Zone, Response Zone, Access Control Zone, [Visitors Center Parking,] [Inspection Area,] [and] [Large Commercial Vehicle/Truck Inspection Facility. Locate the lighting control system in the Gatehouse.</w:t>
      </w:r>
    </w:p>
    <w:p w14:paraId="77EF3BE4"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2FD98F3E"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48590947"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roadway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1AC5B4C6"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roadway lighting fixtures with individual photocell switches on each luminaire.]</w:t>
      </w:r>
    </w:p>
    <w:p w14:paraId="2DB4CA73"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0BC7724D"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7D78A340"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181BBFB2"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[1] </w:t>
      </w:r>
      <w:proofErr w:type="gramStart"/>
      <w:r>
        <w:rPr>
          <w:rFonts w:ascii="ArialMT" w:hAnsi="ArialMT" w:cs="ArialMT"/>
          <w:sz w:val="20"/>
          <w:szCs w:val="20"/>
        </w:rPr>
        <w:t>[ ]</w:t>
      </w:r>
      <w:proofErr w:type="gramEnd"/>
      <w:r>
        <w:rPr>
          <w:rFonts w:ascii="ArialMT" w:hAnsi="ArialMT" w:cs="ArialMT"/>
          <w:sz w:val="20"/>
          <w:szCs w:val="20"/>
        </w:rPr>
        <w:t xml:space="preserve"> RED and GREEN signal light[s] per lane to indicate whether lane is closed or open. Lights will be located within the [Inspection area[s],] [at the Active Vehicle Barrier,] and [____].]</w:t>
      </w:r>
    </w:p>
    <w:p w14:paraId="7B95C370"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3B778D3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[aluminum] [steel] [     </w:t>
      </w:r>
      <w:proofErr w:type="gramStart"/>
      <w:r>
        <w:rPr>
          <w:rFonts w:ascii="ArialMT" w:hAnsi="ArialMT" w:cs="ArialMT"/>
          <w:sz w:val="20"/>
          <w:szCs w:val="20"/>
        </w:rPr>
        <w:t xml:space="preserve">  ]</w:t>
      </w:r>
      <w:proofErr w:type="gramEnd"/>
      <w:r>
        <w:rPr>
          <w:rFonts w:ascii="ArialMT" w:hAnsi="ArialMT" w:cs="ArialMT"/>
          <w:sz w:val="20"/>
          <w:szCs w:val="20"/>
        </w:rPr>
        <w:t xml:space="preserve"> [direct set] [complete with foundations] for site lighting.]</w:t>
      </w:r>
    </w:p>
    <w:p w14:paraId="7471FFD9"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54712BD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14AC4C80"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30FF791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connection requirements indicated in paragraph G4020 "Site Lighting".] </w:t>
      </w:r>
    </w:p>
    <w:p w14:paraId="53D5D9E6"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G402007 GROUNDING SYSTEMS </w:t>
      </w:r>
    </w:p>
    <w:p w14:paraId="4E152545"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1C43A44E"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6A030ED0"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125C3089"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5BEAB9E"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and Data Telecommunications Systems,] [Cable Television (CATV)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and grounding systems as required for a complete and usable system.]</w:t>
      </w:r>
    </w:p>
    <w:p w14:paraId="2ECAC0EA"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335795DE" w14:textId="77777777" w:rsidR="00551E30" w:rsidRPr="004948BE" w:rsidRDefault="00551E30">
      <w:pPr>
        <w:widowControl w:val="0"/>
        <w:autoSpaceDE w:val="0"/>
        <w:autoSpaceDN w:val="0"/>
        <w:adjustRightInd w:val="0"/>
        <w:spacing w:after="0" w:line="240" w:lineRule="auto"/>
        <w:rPr>
          <w:rFonts w:ascii="ArialMT" w:hAnsi="ArialMT" w:cs="ArialMT"/>
          <w:b/>
          <w:vanish/>
          <w:sz w:val="20"/>
          <w:szCs w:val="20"/>
        </w:rPr>
      </w:pPr>
      <w:r w:rsidRPr="004948BE">
        <w:rPr>
          <w:rFonts w:ascii="ArialMT" w:hAnsi="ArialMT" w:cs="ArialMT"/>
          <w:b/>
          <w:bCs/>
          <w:vanish/>
          <w:color w:val="0000FF"/>
          <w:sz w:val="20"/>
          <w:szCs w:val="20"/>
        </w:rPr>
        <w:t xml:space="preserve">********************************************************************************************************** </w:t>
      </w:r>
      <w:r w:rsidRPr="004948BE">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sidRPr="004948BE">
        <w:rPr>
          <w:rFonts w:ascii="ArialMT" w:hAnsi="ArialMT" w:cs="ArialMT"/>
          <w:b/>
          <w:vanish/>
          <w:color w:val="0000FF"/>
          <w:sz w:val="20"/>
          <w:szCs w:val="20"/>
        </w:rPr>
        <w:t>The ICS Infrastructure fiber optic cable will be terminated in the ICS equipment rack located in the Telecommunications Equipment Room.</w:t>
      </w:r>
      <w:r w:rsidRPr="004948BE">
        <w:rPr>
          <w:rFonts w:ascii="ArialMT" w:hAnsi="ArialMT" w:cs="ArialMT"/>
          <w:b/>
          <w:vanish/>
          <w:color w:val="0000FF"/>
          <w:sz w:val="20"/>
          <w:szCs w:val="20"/>
        </w:rPr>
        <w:br/>
        <w:t>**********************************************************************************************************</w:t>
      </w:r>
    </w:p>
    <w:p w14:paraId="421D3CB7"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6AF14D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35C06111"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3058898A"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4FA14E18"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7A3DDC30"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323505B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3729F781"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6008F384"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5272FF1F"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20B21EE2"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6C5776A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7270BBF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between the exterior connection point and equipment room.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cable into the building entrance facilities.]</w:t>
      </w:r>
    </w:p>
    <w:p w14:paraId="69E8BD89"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cable between connection point and building entrance facilities.]</w:t>
      </w:r>
    </w:p>
    <w:p w14:paraId="20BC2EE0"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6E5F15BF"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50D24070"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2CFEF2D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xml:space="preserve">, manholes, and handholes for site telecommunications and security.]  [Provide a direct buried system for site telecommunications and security.]  [Provide a system of </w:t>
      </w:r>
      <w:proofErr w:type="spellStart"/>
      <w:r>
        <w:rPr>
          <w:rFonts w:ascii="ArialMT" w:hAnsi="ArialMT" w:cs="ArialMT"/>
          <w:sz w:val="20"/>
          <w:szCs w:val="20"/>
        </w:rPr>
        <w:t>ductbanks</w:t>
      </w:r>
      <w:proofErr w:type="spellEnd"/>
      <w:r>
        <w:rPr>
          <w:rFonts w:ascii="ArialMT" w:hAnsi="ArialMT" w:cs="ArialMT"/>
          <w:sz w:val="20"/>
          <w:szCs w:val="20"/>
        </w:rPr>
        <w:t>, manholes and handholes for future site telecommunications and security.]</w:t>
      </w:r>
    </w:p>
    <w:p w14:paraId="4BB7CA85"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w:t>
      </w:r>
      <w:proofErr w:type="gramStart"/>
      <w:r>
        <w:rPr>
          <w:rFonts w:ascii="ArialMT" w:hAnsi="ArialMT" w:cs="ArialMT"/>
          <w:b/>
          <w:bCs/>
          <w:sz w:val="28"/>
          <w:szCs w:val="28"/>
        </w:rPr>
        <w:t>POLES</w:t>
      </w:r>
      <w:proofErr w:type="gramEnd"/>
      <w:r>
        <w:rPr>
          <w:rFonts w:ascii="ArialMT" w:hAnsi="ArialMT" w:cs="ArialMT"/>
          <w:b/>
          <w:bCs/>
          <w:sz w:val="28"/>
          <w:szCs w:val="28"/>
        </w:rPr>
        <w:t xml:space="preserve"> AND STANDS </w:t>
      </w:r>
    </w:p>
    <w:p w14:paraId="64E14008"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30626C71"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4AE6F65A"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1985C998"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G403007 ELECTRONIC SECURITY SYSTEMS (ESS) </w:t>
      </w:r>
    </w:p>
    <w:p w14:paraId="3C93791A"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948BE">
        <w:rPr>
          <w:rFonts w:ascii="ArialMT" w:hAnsi="ArialMT" w:cs="ArialMT"/>
          <w:b/>
          <w:bCs/>
          <w:vanish/>
          <w:color w:val="0000FF"/>
          <w:sz w:val="20"/>
          <w:szCs w:val="20"/>
        </w:rPr>
        <w:t xml:space="preserve"> </w:t>
      </w:r>
      <w:r>
        <w:rPr>
          <w:rFonts w:ascii="ArialMT" w:hAnsi="ArialMT" w:cs="ArialMT"/>
          <w:b/>
          <w:bCs/>
          <w:vanish/>
          <w:color w:val="0000FF"/>
          <w:sz w:val="20"/>
          <w:szCs w:val="20"/>
        </w:rPr>
        <w:t>NAVFAC's goal, is to fully integrate the design, procurement, installation and testing of ESS into Navy MCON design and construction contracts. ESS supporting infrastructure will be included in the base construction contract and the procurement, installation, and testing will be included as an option.</w:t>
      </w:r>
      <w:r>
        <w:rPr>
          <w:rFonts w:ascii="ArialMT" w:hAnsi="ArialMT" w:cs="ArialMT"/>
          <w:b/>
          <w:bCs/>
          <w:vanish/>
          <w:color w:val="0000FF"/>
          <w:sz w:val="20"/>
          <w:szCs w:val="20"/>
        </w:rPr>
        <w:br/>
      </w:r>
      <w:r>
        <w:rPr>
          <w:rFonts w:ascii="ArialMT" w:hAnsi="ArialMT" w:cs="ArialMT"/>
          <w:b/>
          <w:bCs/>
          <w:vanish/>
          <w:color w:val="0000FF"/>
          <w:sz w:val="20"/>
          <w:szCs w:val="20"/>
        </w:rPr>
        <w:br/>
        <w:t>ESS requirements for ECF vary from project to project and may differ at each activity but in general, most ECF will include the following: gate automation system (access control system for pedestrians/vehicles), duress alarms, wrong way/excessive speed detection, and CCTV systems for archiving vehicular traffic and surveillance of the Access Control and Response Zones. Installation of an ESS including designating protected areas/zones must be indicated in the Project Program. Coordinate requirements with Project Manager and Base and Regional Security Personnel.</w:t>
      </w:r>
      <w:r>
        <w:rPr>
          <w:rFonts w:ascii="ArialMT" w:hAnsi="ArialMT" w:cs="ArialMT"/>
          <w:b/>
          <w:bCs/>
          <w:vanish/>
          <w:color w:val="0000FF"/>
          <w:sz w:val="20"/>
          <w:szCs w:val="20"/>
        </w:rPr>
        <w:br/>
      </w:r>
      <w:r>
        <w:rPr>
          <w:rFonts w:ascii="ArialMT" w:hAnsi="ArialMT" w:cs="ArialMT"/>
          <w:b/>
          <w:bCs/>
          <w:vanish/>
          <w:color w:val="0000FF"/>
          <w:sz w:val="20"/>
          <w:szCs w:val="20"/>
        </w:rPr>
        <w:br/>
        <w:t>The following is provided for guidance only and must be edited accordingly to suit each project. ESS must be fully coordinated and defined by the RFP writer and not left up to the design builder.</w:t>
      </w:r>
      <w:r>
        <w:rPr>
          <w:rFonts w:ascii="ArialMT" w:hAnsi="ArialMT" w:cs="ArialMT"/>
          <w:b/>
          <w:bCs/>
          <w:vanish/>
          <w:color w:val="0000FF"/>
          <w:sz w:val="20"/>
          <w:szCs w:val="20"/>
        </w:rPr>
        <w:br/>
      </w:r>
      <w:r>
        <w:rPr>
          <w:rFonts w:ascii="ArialMT" w:hAnsi="ArialMT" w:cs="ArialMT"/>
          <w:b/>
          <w:bCs/>
          <w:vanish/>
          <w:color w:val="0000FF"/>
          <w:sz w:val="20"/>
          <w:szCs w:val="20"/>
        </w:rPr>
        <w:br/>
        <w:t>Communications connectivity for the Entry Control Facilities must be coordinated with Base security, Base Communications Officers (BCO), and facility operations personnel at the RFP development meeting.</w:t>
      </w:r>
      <w:r>
        <w:rPr>
          <w:rFonts w:ascii="ArialMT" w:hAnsi="ArialMT" w:cs="ArialMT"/>
          <w:b/>
          <w:bCs/>
          <w:vanish/>
          <w:color w:val="0000FF"/>
          <w:sz w:val="20"/>
          <w:szCs w:val="20"/>
        </w:rPr>
        <w:br/>
      </w:r>
      <w:r>
        <w:rPr>
          <w:rFonts w:ascii="ArialMT" w:hAnsi="ArialMT" w:cs="ArialMT"/>
          <w:b/>
          <w:bCs/>
          <w:vanish/>
          <w:color w:val="0000FF"/>
          <w:sz w:val="20"/>
          <w:szCs w:val="20"/>
        </w:rPr>
        <w:br/>
        <w:t>For Navy projects, provide infrastructure for all ESS systems and traffic arms and associated control equipment with project funds. Provide equipment for CCTV system as a contract option. Access control (gate automation) system equipment such as card readers, intercom, RFID readers and wrong way/excessive speed detection devices to be provided by others.</w:t>
      </w:r>
      <w:r>
        <w:rPr>
          <w:rFonts w:ascii="ArialMT" w:hAnsi="ArialMT" w:cs="ArialMT"/>
          <w:b/>
          <w:bCs/>
          <w:vanish/>
          <w:color w:val="0000FF"/>
          <w:sz w:val="20"/>
          <w:szCs w:val="20"/>
        </w:rPr>
        <w:br/>
      </w:r>
      <w:r>
        <w:rPr>
          <w:rFonts w:ascii="ArialMT" w:hAnsi="ArialMT" w:cs="ArialMT"/>
          <w:b/>
          <w:bCs/>
          <w:vanish/>
          <w:color w:val="0000FF"/>
          <w:sz w:val="20"/>
          <w:szCs w:val="20"/>
        </w:rPr>
        <w:br/>
        <w:t>For Marine Corps projects, provide infrastructure support only. Coordination with Commandant Marine Corps (CMC) is required.</w:t>
      </w:r>
      <w:r>
        <w:rPr>
          <w:rFonts w:ascii="ArialMT" w:hAnsi="ArialMT" w:cs="ArialMT"/>
          <w:b/>
          <w:bCs/>
          <w:vanish/>
          <w:color w:val="0000FF"/>
          <w:sz w:val="20"/>
          <w:szCs w:val="20"/>
        </w:rPr>
        <w:br/>
        <w:t>**********************************************************************************************************</w:t>
      </w:r>
    </w:p>
    <w:p w14:paraId="0099ACB9"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2283D341"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entry control facilities, exterior Electronic Security System (ESS) is the integrated electronic system that encompasses one or more of the following </w:t>
      </w:r>
      <w:proofErr w:type="gramStart"/>
      <w:r>
        <w:rPr>
          <w:rFonts w:ascii="ArialMT" w:hAnsi="ArialMT" w:cs="ArialMT"/>
          <w:sz w:val="20"/>
          <w:szCs w:val="20"/>
        </w:rPr>
        <w:t>subsystems;</w:t>
      </w:r>
      <w:proofErr w:type="gramEnd"/>
      <w:r>
        <w:rPr>
          <w:rFonts w:ascii="ArialMT" w:hAnsi="ArialMT" w:cs="ArialMT"/>
          <w:sz w:val="20"/>
          <w:szCs w:val="20"/>
        </w:rPr>
        <w:t xml:space="preserve"> access control system (ACS) for pedestrians/vehicles (gate automation), wrong way/excessive speed detection, and closed circuit television (CCTV) system.</w:t>
      </w:r>
    </w:p>
    <w:p w14:paraId="364C383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ESS systems and workstations are defined in Section D50, </w:t>
      </w:r>
      <w:r>
        <w:rPr>
          <w:rFonts w:ascii="ArialMT" w:hAnsi="ArialMT" w:cs="ArialMT"/>
          <w:i/>
          <w:iCs/>
          <w:sz w:val="20"/>
          <w:szCs w:val="20"/>
        </w:rPr>
        <w:t>Engineering Systems Requirements</w:t>
      </w:r>
      <w:r>
        <w:rPr>
          <w:rFonts w:ascii="ArialMT" w:hAnsi="ArialMT" w:cs="ArialMT"/>
          <w:sz w:val="20"/>
          <w:szCs w:val="20"/>
        </w:rPr>
        <w:t>.</w:t>
      </w:r>
    </w:p>
    <w:p w14:paraId="2516300D"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pan-tilt-zoom (PTZ) cameras for wide area Situational awareness (SA) of the ECF Access Control and Response Zones.]</w:t>
      </w:r>
    </w:p>
    <w:p w14:paraId="5F3E2136"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2</w:t>
      </w:r>
      <w:proofErr w:type="gramEnd"/>
      <w:r>
        <w:rPr>
          <w:rFonts w:ascii="ArialMT" w:hAnsi="ArialMT" w:cs="ArialMT"/>
          <w:sz w:val="20"/>
          <w:szCs w:val="20"/>
        </w:rPr>
        <w:t xml:space="preserve"> fixed CCTV cameras per lane in Access Control Zone to provide visual imagery of vehicle and front/rear license plates.]</w:t>
      </w:r>
    </w:p>
    <w:p w14:paraId="6D8D0130"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CCTV cameras in Access Control Zone to provide visual imagery of pedestrian access control points.]</w:t>
      </w:r>
    </w:p>
    <w:p w14:paraId="55736FD8"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948BE">
        <w:rPr>
          <w:rFonts w:ascii="ArialMT" w:hAnsi="ArialMT" w:cs="ArialMT"/>
          <w:b/>
          <w:bCs/>
          <w:vanish/>
          <w:color w:val="0000FF"/>
          <w:sz w:val="20"/>
          <w:szCs w:val="20"/>
        </w:rPr>
        <w:t xml:space="preserve"> </w:t>
      </w:r>
      <w:r>
        <w:rPr>
          <w:rFonts w:ascii="ArialMT" w:hAnsi="ArialMT" w:cs="ArialMT"/>
          <w:b/>
          <w:bCs/>
          <w:vanish/>
          <w:color w:val="0000FF"/>
          <w:sz w:val="20"/>
          <w:szCs w:val="20"/>
        </w:rPr>
        <w:t>If the CCTV equipment will be provided by others, specify the requirements for empty raceways and outlet boxes including camera locations to enable system installation by the ESS supplier.</w:t>
      </w:r>
      <w:r>
        <w:rPr>
          <w:rFonts w:ascii="ArialMT" w:hAnsi="ArialMT" w:cs="ArialMT"/>
          <w:b/>
          <w:bCs/>
          <w:vanish/>
          <w:color w:val="0000FF"/>
          <w:sz w:val="20"/>
          <w:szCs w:val="20"/>
        </w:rPr>
        <w:br/>
        <w:t>**********************************************************************************************************</w:t>
      </w:r>
    </w:p>
    <w:p w14:paraId="48969067"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532E9E93"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CCTV camera system.</w:t>
      </w:r>
    </w:p>
    <w:p w14:paraId="3E866177"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camera outlets in the following locations: 2 per inbound lane in the Access Control Zone,] [[1][</w:t>
      </w:r>
      <w:proofErr w:type="gramStart"/>
      <w:r>
        <w:rPr>
          <w:rFonts w:ascii="ArialMT" w:hAnsi="ArialMT" w:cs="ArialMT"/>
          <w:sz w:val="20"/>
          <w:szCs w:val="20"/>
        </w:rPr>
        <w:t>2][</w:t>
      </w:r>
      <w:proofErr w:type="gramEnd"/>
      <w:r>
        <w:rPr>
          <w:rFonts w:ascii="ArialMT" w:hAnsi="ArialMT" w:cs="ArialMT"/>
          <w:sz w:val="20"/>
          <w:szCs w:val="20"/>
        </w:rPr>
        <w:t xml:space="preserve"> ] located to provide wide area Situational awareness (SA) of the ECF Access Control and Response Zone] [and] [pedestrian access control points] [ ].]</w:t>
      </w:r>
    </w:p>
    <w:p w14:paraId="4455F9EE"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948BE">
        <w:rPr>
          <w:rFonts w:ascii="ArialMT" w:hAnsi="ArialMT" w:cs="ArialMT"/>
          <w:b/>
          <w:bCs/>
          <w:vanish/>
          <w:color w:val="0000FF"/>
          <w:sz w:val="20"/>
          <w:szCs w:val="20"/>
        </w:rPr>
        <w:t xml:space="preserve"> </w:t>
      </w:r>
      <w:r>
        <w:rPr>
          <w:rFonts w:ascii="ArialMT" w:hAnsi="ArialMT" w:cs="ArialMT"/>
          <w:b/>
          <w:bCs/>
          <w:vanish/>
          <w:color w:val="0000FF"/>
          <w:sz w:val="20"/>
          <w:szCs w:val="20"/>
        </w:rPr>
        <w:t>The following will be provide under base contract if gate automation is a current or future requirement.</w:t>
      </w:r>
      <w:r>
        <w:rPr>
          <w:rFonts w:ascii="ArialMT" w:hAnsi="ArialMT" w:cs="ArialMT"/>
          <w:b/>
          <w:bCs/>
          <w:vanish/>
          <w:color w:val="0000FF"/>
          <w:sz w:val="20"/>
          <w:szCs w:val="20"/>
        </w:rPr>
        <w:br/>
        <w:t>**********************************************************************************************************</w:t>
      </w:r>
    </w:p>
    <w:p w14:paraId="31620849"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18E4B6C8"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each lane of traffic provide:</w:t>
      </w:r>
    </w:p>
    <w:p w14:paraId="1944DD77" w14:textId="77777777" w:rsidR="00551E30" w:rsidRDefault="00551E3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t>
      </w:r>
      <w:proofErr w:type="gramStart"/>
      <w:r>
        <w:rPr>
          <w:rFonts w:ascii="ArialMT" w:hAnsi="ArialMT" w:cs="ArialMT"/>
          <w:sz w:val="20"/>
          <w:szCs w:val="20"/>
        </w:rPr>
        <w:t>Non Traffic</w:t>
      </w:r>
      <w:proofErr w:type="gramEnd"/>
      <w:r>
        <w:rPr>
          <w:rFonts w:ascii="ArialMT" w:hAnsi="ArialMT" w:cs="ArialMT"/>
          <w:sz w:val="20"/>
          <w:szCs w:val="20"/>
        </w:rPr>
        <w:t xml:space="preserve"> Rated Gate Arm – High-speed controller with a 10 ft arm used to regulate controlled entry.]</w:t>
      </w:r>
      <w:r>
        <w:rPr>
          <w:rFonts w:ascii="ArialMT" w:hAnsi="ArialMT" w:cs="ArialMT"/>
          <w:sz w:val="20"/>
          <w:szCs w:val="20"/>
        </w:rPr>
        <w:br/>
      </w:r>
      <w:r>
        <w:rPr>
          <w:rFonts w:ascii="ArialMT" w:hAnsi="ArialMT" w:cs="ArialMT"/>
          <w:sz w:val="20"/>
          <w:szCs w:val="20"/>
        </w:rPr>
        <w:br/>
        <w:t>[Two Vehicle Loop Detectors – Pre and Post Authorization; used to monitor vehicle transition through the entry lane.]</w:t>
      </w:r>
      <w:r>
        <w:rPr>
          <w:rFonts w:ascii="ArialMT" w:hAnsi="ArialMT" w:cs="ArialMT"/>
          <w:sz w:val="20"/>
          <w:szCs w:val="20"/>
        </w:rPr>
        <w:br/>
      </w:r>
      <w:r>
        <w:rPr>
          <w:rFonts w:ascii="ArialMT" w:hAnsi="ArialMT" w:cs="ArialMT"/>
          <w:sz w:val="20"/>
          <w:szCs w:val="20"/>
        </w:rPr>
        <w:br/>
        <w:t>[Traffic Light – Physically located on the Gate Arm Controller. RED and GREEN lights.]</w:t>
      </w:r>
      <w:r>
        <w:rPr>
          <w:rFonts w:ascii="ArialMT" w:hAnsi="ArialMT" w:cs="ArialMT"/>
          <w:sz w:val="20"/>
          <w:szCs w:val="20"/>
        </w:rPr>
        <w:br/>
      </w:r>
      <w:r>
        <w:rPr>
          <w:rFonts w:ascii="ArialMT" w:hAnsi="ArialMT" w:cs="ArialMT"/>
          <w:sz w:val="20"/>
          <w:szCs w:val="20"/>
        </w:rPr>
        <w:br/>
        <w:t>[Photo Eye Detector - Physically located on the Gate Arm Controller. Used to detect a vehicle under the Gate Arm and prevent lowering while vehicle is present.]</w:t>
      </w:r>
    </w:p>
    <w:p w14:paraId="01F0EAA9" w14:textId="77777777" w:rsidR="00551E30" w:rsidRDefault="00551E30">
      <w:pPr>
        <w:widowControl w:val="0"/>
        <w:autoSpaceDE w:val="0"/>
        <w:autoSpaceDN w:val="0"/>
        <w:adjustRightInd w:val="0"/>
        <w:spacing w:after="0" w:line="240" w:lineRule="auto"/>
        <w:ind w:left="1060"/>
        <w:rPr>
          <w:rFonts w:ascii="ArialMT" w:hAnsi="ArialMT" w:cs="ArialMT"/>
          <w:sz w:val="20"/>
          <w:szCs w:val="20"/>
        </w:rPr>
      </w:pPr>
    </w:p>
    <w:p w14:paraId="1267135D"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948BE">
        <w:rPr>
          <w:rFonts w:ascii="ArialMT" w:hAnsi="ArialMT" w:cs="ArialMT"/>
          <w:b/>
          <w:bCs/>
          <w:vanish/>
          <w:color w:val="0000FF"/>
          <w:sz w:val="20"/>
          <w:szCs w:val="20"/>
        </w:rPr>
        <w:t xml:space="preserve"> </w:t>
      </w:r>
      <w:r>
        <w:rPr>
          <w:rFonts w:ascii="ArialMT" w:hAnsi="ArialMT" w:cs="ArialMT"/>
          <w:b/>
          <w:bCs/>
          <w:vanish/>
          <w:color w:val="0000FF"/>
          <w:sz w:val="20"/>
          <w:szCs w:val="20"/>
        </w:rPr>
        <w:t>If gate automation equipment will be provided by others, specify the requirements for empty raceways and outlet boxes including equipment locations to enable system installation by the equipment supplier.</w:t>
      </w:r>
      <w:r>
        <w:rPr>
          <w:rFonts w:ascii="ArialMT" w:hAnsi="ArialMT" w:cs="ArialMT"/>
          <w:b/>
          <w:bCs/>
          <w:vanish/>
          <w:color w:val="0000FF"/>
          <w:sz w:val="20"/>
          <w:szCs w:val="20"/>
        </w:rPr>
        <w:br/>
        <w:t>**********************************************************************************************************</w:t>
      </w:r>
    </w:p>
    <w:p w14:paraId="175E9295"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222A26A9"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handholes, junction boxes, outlet boxes, outlet connectors, and cover plates for exterior gate automation equipment.</w:t>
      </w:r>
    </w:p>
    <w:p w14:paraId="4619F4A4"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gate automation equipment for each lane will include:</w:t>
      </w:r>
    </w:p>
    <w:p w14:paraId="6CCB09D9" w14:textId="77777777" w:rsidR="00551E30" w:rsidRDefault="00551E30">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[Card Reader (CR) – Located on pedestal; used to read the user credential (card) carried by authorized personnel.]</w:t>
      </w:r>
      <w:r>
        <w:rPr>
          <w:rFonts w:ascii="ArialMT" w:hAnsi="ArialMT" w:cs="ArialMT"/>
          <w:sz w:val="20"/>
          <w:szCs w:val="20"/>
        </w:rPr>
        <w:br/>
      </w:r>
      <w:r>
        <w:rPr>
          <w:rFonts w:ascii="ArialMT" w:hAnsi="ArialMT" w:cs="ArialMT"/>
          <w:sz w:val="20"/>
          <w:szCs w:val="20"/>
        </w:rPr>
        <w:br/>
        <w:t>[Camera/Intercom – Co-located with CR for communication with sentry in [sentry/guard booth.][Gatehouse.]</w:t>
      </w:r>
      <w:r>
        <w:rPr>
          <w:rFonts w:ascii="ArialMT" w:hAnsi="ArialMT" w:cs="ArialMT"/>
          <w:sz w:val="20"/>
          <w:szCs w:val="20"/>
        </w:rPr>
        <w:br/>
      </w:r>
      <w:r>
        <w:rPr>
          <w:rFonts w:ascii="ArialMT" w:hAnsi="ArialMT" w:cs="ArialMT"/>
          <w:sz w:val="20"/>
          <w:szCs w:val="20"/>
        </w:rPr>
        <w:br/>
        <w:t>[RFID Reader – Used to read the RFID "token" tag or asset physically located on an authorized personnel's vehicle.]</w:t>
      </w:r>
      <w:r>
        <w:rPr>
          <w:rFonts w:ascii="ArialMT" w:hAnsi="ArialMT" w:cs="ArialMT"/>
          <w:sz w:val="20"/>
          <w:szCs w:val="20"/>
        </w:rPr>
        <w:br/>
      </w:r>
      <w:r>
        <w:rPr>
          <w:rFonts w:ascii="ArialMT" w:hAnsi="ArialMT" w:cs="ArialMT"/>
          <w:sz w:val="20"/>
          <w:szCs w:val="20"/>
        </w:rPr>
        <w:br/>
        <w:t>[Wrong way detection sensors (outbound lanes)]</w:t>
      </w:r>
      <w:r>
        <w:rPr>
          <w:rFonts w:ascii="ArialMT" w:hAnsi="ArialMT" w:cs="ArialMT"/>
          <w:sz w:val="20"/>
          <w:szCs w:val="20"/>
        </w:rPr>
        <w:br/>
      </w:r>
      <w:r>
        <w:rPr>
          <w:rFonts w:ascii="ArialMT" w:hAnsi="ArialMT" w:cs="ArialMT"/>
          <w:sz w:val="20"/>
          <w:szCs w:val="20"/>
        </w:rPr>
        <w:lastRenderedPageBreak/>
        <w:br/>
        <w:t>[Excessive speed detection sensors (inbound lanes)]]</w:t>
      </w:r>
    </w:p>
    <w:p w14:paraId="4445B49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pedestrian turnstile:</w:t>
      </w:r>
    </w:p>
    <w:p w14:paraId="412E7201" w14:textId="77777777" w:rsidR="00551E30" w:rsidRDefault="00551E3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[Card Reader (CR) - Located on pedestal; used to read the user credential (card) carried by authorized personnel.]</w:t>
      </w:r>
      <w:r>
        <w:rPr>
          <w:rFonts w:ascii="ArialMT" w:hAnsi="ArialMT" w:cs="ArialMT"/>
          <w:sz w:val="20"/>
          <w:szCs w:val="20"/>
        </w:rPr>
        <w:br/>
      </w:r>
      <w:r>
        <w:rPr>
          <w:rFonts w:ascii="ArialMT" w:hAnsi="ArialMT" w:cs="ArialMT"/>
          <w:sz w:val="20"/>
          <w:szCs w:val="20"/>
        </w:rPr>
        <w:br/>
        <w:t>[Camera/Intercom – Co-located with CR; for communication with sentry in [sentry/guard booth</w:t>
      </w:r>
      <w:proofErr w:type="gramStart"/>
      <w:r>
        <w:rPr>
          <w:rFonts w:ascii="ArialMT" w:hAnsi="ArialMT" w:cs="ArialMT"/>
          <w:sz w:val="20"/>
          <w:szCs w:val="20"/>
        </w:rPr>
        <w:t>.][</w:t>
      </w:r>
      <w:proofErr w:type="gramEnd"/>
      <w:r>
        <w:rPr>
          <w:rFonts w:ascii="ArialMT" w:hAnsi="ArialMT" w:cs="ArialMT"/>
          <w:sz w:val="20"/>
          <w:szCs w:val="20"/>
        </w:rPr>
        <w:t>Gatehouse.]]</w:t>
      </w:r>
    </w:p>
    <w:p w14:paraId="2DD86615" w14:textId="77777777" w:rsidR="00551E30" w:rsidRDefault="00551E30">
      <w:pPr>
        <w:widowControl w:val="0"/>
        <w:autoSpaceDE w:val="0"/>
        <w:autoSpaceDN w:val="0"/>
        <w:adjustRightInd w:val="0"/>
        <w:spacing w:after="0" w:line="240" w:lineRule="auto"/>
        <w:ind w:left="1060"/>
        <w:rPr>
          <w:rFonts w:ascii="ArialMT" w:hAnsi="ArialMT" w:cs="ArialMT"/>
          <w:sz w:val="20"/>
          <w:szCs w:val="20"/>
        </w:rPr>
      </w:pPr>
    </w:p>
    <w:p w14:paraId="61D105A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12-strand single-mode optical fiber for ESS with connectivity to [installation dispatch </w:t>
      </w:r>
      <w:proofErr w:type="gramStart"/>
      <w:r>
        <w:rPr>
          <w:rFonts w:ascii="ArialMT" w:hAnsi="ArialMT" w:cs="ArialMT"/>
          <w:sz w:val="20"/>
          <w:szCs w:val="20"/>
        </w:rPr>
        <w:t>center][</w:t>
      </w:r>
      <w:proofErr w:type="gramEnd"/>
      <w:r>
        <w:rPr>
          <w:rFonts w:ascii="ArialMT" w:hAnsi="ArialMT" w:cs="ArialMT"/>
          <w:sz w:val="20"/>
          <w:szCs w:val="20"/>
        </w:rPr>
        <w:t xml:space="preserve"> ].]</w:t>
      </w:r>
    </w:p>
    <w:p w14:paraId="2AD393B8"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COMMUNICATION FOR ACTIVE BARRIER SYSTEMS </w:t>
      </w:r>
    </w:p>
    <w:p w14:paraId="11D6B377"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communication requirements for Active Vehicle Barrier Systems in this section if they are included in the project.</w:t>
      </w:r>
      <w:r>
        <w:rPr>
          <w:rFonts w:ascii="ArialMT" w:hAnsi="ArialMT" w:cs="ArialMT"/>
          <w:b/>
          <w:bCs/>
          <w:vanish/>
          <w:color w:val="0000FF"/>
          <w:sz w:val="20"/>
          <w:szCs w:val="20"/>
        </w:rPr>
        <w:br/>
        <w:t>**********************************************************************************************************</w:t>
      </w:r>
    </w:p>
    <w:p w14:paraId="74AFA9DA"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1214174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control system in the </w:t>
      </w:r>
      <w:proofErr w:type="gramStart"/>
      <w:r>
        <w:rPr>
          <w:rFonts w:ascii="ArialMT" w:hAnsi="ArialMT" w:cs="ArialMT"/>
          <w:sz w:val="20"/>
          <w:szCs w:val="20"/>
        </w:rPr>
        <w:t>Gatehouse[</w:t>
      </w:r>
      <w:proofErr w:type="gramEnd"/>
      <w:r>
        <w:rPr>
          <w:rFonts w:ascii="ArialMT" w:hAnsi="ArialMT" w:cs="ArialMT"/>
          <w:sz w:val="20"/>
          <w:szCs w:val="20"/>
        </w:rPr>
        <w:t>,] [and] Sentry/Guard Booth[, and Overwatch Position] for the Active Vehicle Barrier System including all conduit and wiring, underground structures, termination equipment, [poles and structures], as required for a complete and usable system.]</w:t>
      </w:r>
    </w:p>
    <w:p w14:paraId="27CE5EE8"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331BA8C6"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47267A23"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2A287220"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6CAEEE32"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0DF4D354"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045BE502"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546D26A3"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7A701BCB"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39E7401F"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7793A506"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762EC71F"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7B99D87C"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5813005C"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site electrical utility systems consisting of [Solar Systems] [Wind Energy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and grounding systems as required for a complete and usable system.]</w:t>
      </w:r>
    </w:p>
    <w:p w14:paraId="6C01B83D" w14:textId="77777777" w:rsidR="00551E30" w:rsidRDefault="00551E3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1905EECE" w14:textId="77777777" w:rsidR="00551E30" w:rsidRDefault="00551E3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13A70505" w14:textId="77777777" w:rsidR="00551E30" w:rsidRDefault="00551E30">
      <w:pPr>
        <w:widowControl w:val="0"/>
        <w:autoSpaceDE w:val="0"/>
        <w:autoSpaceDN w:val="0"/>
        <w:adjustRightInd w:val="0"/>
        <w:spacing w:after="0" w:line="240" w:lineRule="auto"/>
        <w:rPr>
          <w:rFonts w:ascii="ArialMT" w:hAnsi="ArialMT" w:cs="ArialMT"/>
          <w:vanish/>
          <w:sz w:val="20"/>
          <w:szCs w:val="20"/>
        </w:rPr>
      </w:pPr>
    </w:p>
    <w:p w14:paraId="09783C6E"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64B2F07F"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3FC11C3E"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6E6543C6" w14:textId="77777777" w:rsidR="00551E30" w:rsidRDefault="00551E3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551E3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C2BB9" w14:textId="77777777" w:rsidR="00BE64FD" w:rsidRDefault="00BE64FD">
      <w:pPr>
        <w:spacing w:after="0" w:line="240" w:lineRule="auto"/>
      </w:pPr>
      <w:r>
        <w:separator/>
      </w:r>
    </w:p>
  </w:endnote>
  <w:endnote w:type="continuationSeparator" w:id="0">
    <w:p w14:paraId="2F81EC5B" w14:textId="77777777" w:rsidR="00BE64FD" w:rsidRDefault="00BE6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8A416" w14:textId="77777777" w:rsidR="00551E30" w:rsidRDefault="00551E3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8BC76" w14:textId="77777777" w:rsidR="00BE64FD" w:rsidRDefault="00BE64FD">
      <w:pPr>
        <w:spacing w:after="0" w:line="240" w:lineRule="auto"/>
      </w:pPr>
      <w:r>
        <w:separator/>
      </w:r>
    </w:p>
  </w:footnote>
  <w:footnote w:type="continuationSeparator" w:id="0">
    <w:p w14:paraId="407307FE" w14:textId="77777777" w:rsidR="00BE64FD" w:rsidRDefault="00BE6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8EA8B" w14:textId="77777777" w:rsidR="00551E30" w:rsidRDefault="00551E3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8BE"/>
    <w:rsid w:val="00446145"/>
    <w:rsid w:val="004948BE"/>
    <w:rsid w:val="00551E30"/>
    <w:rsid w:val="00BE6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52B080"/>
  <w14:defaultImageDpi w14:val="0"/>
  <w15:docId w15:val="{74033492-F94E-4AAE-AB06-F7AEEC88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5143</Words>
  <Characters>29321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2024-06-18T20:19:00Z</dcterms:created>
  <dcterms:modified xsi:type="dcterms:W3CDTF">2024-06-18T20:19:00Z</dcterms:modified>
  <cp:category>Design Build</cp:category>
</cp:coreProperties>
</file>