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868D2" w14:textId="77777777" w:rsidR="00C07BB5" w:rsidRDefault="00C07BB5">
      <w:pPr>
        <w:widowControl w:val="0"/>
        <w:autoSpaceDE w:val="0"/>
        <w:autoSpaceDN w:val="0"/>
        <w:adjustRightInd w:val="0"/>
        <w:spacing w:after="0" w:line="240" w:lineRule="auto"/>
        <w:rPr>
          <w:rFonts w:ascii="Times New Roman" w:hAnsi="Times New Roman"/>
          <w:sz w:val="24"/>
          <w:szCs w:val="24"/>
        </w:rPr>
      </w:pPr>
    </w:p>
    <w:p w14:paraId="3D09F7F6" w14:textId="77777777" w:rsidR="00C07BB5" w:rsidRDefault="00C07BB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27A70A2" w14:textId="77777777" w:rsidR="00C07BB5" w:rsidRDefault="00C07BB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6E3FCFA4"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10DA9C9"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24374A61"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and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782D3437"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79391F08"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1F687C41"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06739751"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1B80BFC4"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354984A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60734C04" w14:textId="77777777" w:rsidR="00C07BB5" w:rsidRDefault="00C07BB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423822A0"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7E95208C"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3A0EA58D"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5EF1F474"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033BE501" w14:textId="77777777" w:rsidR="00C07BB5" w:rsidRDefault="00C07BB5">
      <w:pPr>
        <w:widowControl w:val="0"/>
        <w:autoSpaceDE w:val="0"/>
        <w:autoSpaceDN w:val="0"/>
        <w:adjustRightInd w:val="0"/>
        <w:spacing w:after="0" w:line="240" w:lineRule="auto"/>
        <w:ind w:left="3940"/>
        <w:rPr>
          <w:rFonts w:ascii="ArialMT" w:hAnsi="ArialMT" w:cs="ArialMT"/>
          <w:sz w:val="20"/>
          <w:szCs w:val="20"/>
        </w:rPr>
      </w:pPr>
    </w:p>
    <w:p w14:paraId="2BCD0931"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73E66E9F"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6A2EC817"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1FBEFDCA" w14:textId="77777777" w:rsidR="00C07BB5" w:rsidRDefault="00C07BB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D1AE347" w14:textId="77777777" w:rsidR="00C07BB5" w:rsidRDefault="00C07BB5">
      <w:pPr>
        <w:widowControl w:val="0"/>
        <w:autoSpaceDE w:val="0"/>
        <w:autoSpaceDN w:val="0"/>
        <w:adjustRightInd w:val="0"/>
        <w:spacing w:after="0" w:line="240" w:lineRule="auto"/>
        <w:ind w:left="3940"/>
        <w:rPr>
          <w:rFonts w:ascii="ArialMT" w:hAnsi="ArialMT" w:cs="ArialMT"/>
          <w:sz w:val="20"/>
          <w:szCs w:val="20"/>
        </w:rPr>
      </w:pPr>
    </w:p>
    <w:p w14:paraId="0B8E2424" w14:textId="77777777" w:rsidR="00C07BB5" w:rsidRDefault="00C07BB5">
      <w:pPr>
        <w:widowControl w:val="0"/>
        <w:autoSpaceDE w:val="0"/>
        <w:autoSpaceDN w:val="0"/>
        <w:adjustRightInd w:val="0"/>
        <w:spacing w:after="0" w:line="240" w:lineRule="auto"/>
        <w:ind w:left="2500"/>
        <w:rPr>
          <w:rFonts w:ascii="ArialMT" w:hAnsi="ArialMT" w:cs="ArialMT"/>
          <w:sz w:val="20"/>
          <w:szCs w:val="20"/>
        </w:rPr>
      </w:pPr>
    </w:p>
    <w:p w14:paraId="670D2A9B" w14:textId="77777777" w:rsidR="00C07BB5" w:rsidRDefault="00C07BB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][Extraordinary Events</w:t>
      </w:r>
    </w:p>
    <w:p w14:paraId="7F28589E"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49DC9D35" w14:textId="77777777" w:rsidR="00C07BB5" w:rsidRDefault="00C07BB5">
      <w:pPr>
        <w:widowControl w:val="0"/>
        <w:autoSpaceDE w:val="0"/>
        <w:autoSpaceDN w:val="0"/>
        <w:adjustRightInd w:val="0"/>
        <w:spacing w:after="0" w:line="240" w:lineRule="auto"/>
        <w:ind w:left="2500"/>
        <w:rPr>
          <w:rFonts w:ascii="ArialMT" w:hAnsi="ArialMT" w:cs="ArialMT"/>
          <w:sz w:val="20"/>
          <w:szCs w:val="20"/>
        </w:rPr>
      </w:pPr>
    </w:p>
    <w:p w14:paraId="2F87E52E" w14:textId="77777777" w:rsidR="00C07BB5" w:rsidRDefault="00C07BB5">
      <w:pPr>
        <w:widowControl w:val="0"/>
        <w:autoSpaceDE w:val="0"/>
        <w:autoSpaceDN w:val="0"/>
        <w:adjustRightInd w:val="0"/>
        <w:spacing w:after="0" w:line="240" w:lineRule="auto"/>
        <w:ind w:left="1060"/>
        <w:rPr>
          <w:rFonts w:ascii="ArialMT" w:hAnsi="ArialMT" w:cs="ArialMT"/>
          <w:sz w:val="20"/>
          <w:szCs w:val="20"/>
        </w:rPr>
      </w:pPr>
    </w:p>
    <w:p w14:paraId="0B6FD0E8"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5BAE1ACA"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41468E4D" w14:textId="77777777" w:rsidR="00C07BB5" w:rsidRDefault="00C07BB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][Importance Factors</w:t>
      </w:r>
    </w:p>
    <w:p w14:paraId="4ACDEE6C"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594085E4"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][Wind Exposure</w:t>
      </w:r>
    </w:p>
    <w:p w14:paraId="1B5D61CF" w14:textId="77777777" w:rsidR="00C07BB5" w:rsidRDefault="00C07BB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87DFDD7" w14:textId="77777777" w:rsidR="00C07BB5" w:rsidRDefault="00C07BB5">
      <w:pPr>
        <w:widowControl w:val="0"/>
        <w:autoSpaceDE w:val="0"/>
        <w:autoSpaceDN w:val="0"/>
        <w:adjustRightInd w:val="0"/>
        <w:spacing w:after="0" w:line="240" w:lineRule="auto"/>
        <w:ind w:left="1060"/>
        <w:rPr>
          <w:rFonts w:ascii="ArialMT" w:hAnsi="ArialMT" w:cs="ArialMT"/>
          <w:sz w:val="20"/>
          <w:szCs w:val="20"/>
        </w:rPr>
      </w:pPr>
    </w:p>
    <w:p w14:paraId="4480116C" w14:textId="77777777" w:rsidR="00C07BB5" w:rsidRDefault="00C07B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002940CB"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49A75615"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339E2F29"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5683FD5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Subsurface soil information [, including a geotechnical report ][and pile driving analysis] [from projects immediately adjacent to the project site] are included in other portions of this RFP.</w:t>
      </w:r>
    </w:p>
    <w:p w14:paraId="209B4E26"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0111C33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217B3D1F"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0FE498D2"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4FC76500"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2F7A95BE"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0CCF6900"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0BFBE9B6"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r w:rsidR="00CE24CA">
        <w:rPr>
          <w:rFonts w:ascii="ArialMT" w:hAnsi="ArialMT" w:cs="ArialMT"/>
          <w:b/>
          <w:bCs/>
          <w:vanish/>
          <w:color w:val="0000FF"/>
          <w:sz w:val="20"/>
          <w:szCs w:val="20"/>
        </w:rPr>
        <w:br/>
      </w:r>
      <w:r>
        <w:rPr>
          <w:rFonts w:ascii="ArialMT" w:hAnsi="ArialMT" w:cs="ArialMT"/>
          <w:b/>
          <w:bCs/>
          <w:vanish/>
          <w:color w:val="0000FF"/>
          <w:sz w:val="20"/>
          <w:szCs w:val="20"/>
        </w:rPr>
        <w:t>**********************************************************************************************************</w:t>
      </w:r>
    </w:p>
    <w:p w14:paraId="5A41B43F"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25ACB984"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6E55D49E"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w:t>
      </w:r>
      <w:r>
        <w:rPr>
          <w:rFonts w:ascii="ArialMT" w:hAnsi="ArialMT" w:cs="ArialMT"/>
          <w:sz w:val="20"/>
          <w:szCs w:val="20"/>
        </w:rPr>
        <w:lastRenderedPageBreak/>
        <w:t>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6DCA9F2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11491282"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3B57CFA2"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32C53B7D"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538808BE"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24C4552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7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1B03F491" w14:textId="77777777" w:rsidR="00C07BB5" w:rsidRDefault="00C07B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01CA1D05"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41C80116" w14:textId="77777777" w:rsidR="00C07BB5" w:rsidRDefault="00C07B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30DE92A5"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vibroflotation,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testing and inspection to be used, supporting test data, calculations and any other information related to the structural properties and load capacity of such system.  The allowable stresses for piles/piers must not exceed those limitations specified in UFC 1-200-01.</w:t>
      </w:r>
    </w:p>
    <w:p w14:paraId="65AC92C4"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28874657"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68A248F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[Support the entire project structure on a deep foundation][A shallow foundation is allowed provided surcharging is performed.][A crawl space is not permitted.][____].</w:t>
      </w:r>
    </w:p>
    <w:p w14:paraId="34D682B3"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2460EBBD" w14:textId="77777777" w:rsidR="00C07BB5" w:rsidRDefault="00C07BB5">
      <w:pPr>
        <w:widowControl w:val="0"/>
        <w:autoSpaceDE w:val="0"/>
        <w:autoSpaceDN w:val="0"/>
        <w:adjustRightInd w:val="0"/>
        <w:spacing w:after="0" w:line="240" w:lineRule="auto"/>
        <w:rPr>
          <w:rFonts w:ascii="ArialMT" w:hAnsi="ArialMT" w:cs="ArialMT"/>
          <w:vanish/>
          <w:sz w:val="20"/>
          <w:szCs w:val="20"/>
        </w:rPr>
      </w:pPr>
    </w:p>
    <w:p w14:paraId="35407BEA"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steel sheet piles used in salt or brackish water, provide [cathodic protection of the sheet piles.] [heavy-gage hot-rolled sheet piling conforming to     American Society for Testing and Materials (ASTM)  A 690/ A 690M.]  Apply a protective coating conforming to     Society for Protective Coatings (SSPC) [PS 10.01] [PS 10.02] [PS 11.01][on the exterior face][on both faces] of sheet piles </w:t>
      </w:r>
      <w:r>
        <w:rPr>
          <w:rFonts w:ascii="ArialMT" w:hAnsi="ArialMT" w:cs="ArialMT"/>
          <w:sz w:val="20"/>
          <w:szCs w:val="20"/>
        </w:rPr>
        <w:lastRenderedPageBreak/>
        <w:t>in the in the splash zone]. [Allow [1/16][1/8] inch of additional wall thickness for sacrificial corrosion.]".</w:t>
      </w:r>
    </w:p>
    <w:p w14:paraId="05DE9A13" w14:textId="77777777" w:rsidR="00C07BB5" w:rsidRDefault="00C07B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 </w:t>
      </w:r>
    </w:p>
    <w:p w14:paraId="47C98B1E" w14:textId="77777777" w:rsidR="00C07BB5" w:rsidRDefault="00C07BB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19EACAED"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provide soil supported concrete slab on ground.  Where slab on ground is below the existing adjacent exterior grade, provide water/dampproofing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5F77B572"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0E78BDF8" w14:textId="77777777" w:rsidR="00C07BB5" w:rsidRDefault="00C07BB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491C879E"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water/dampproofing and a perimeter drainage system to remove ground water from the area immediately adjacent to the buildings. Provide under slab insulation in accordance with ASHRAE 189.1, Normative Appendix A.</w:t>
      </w:r>
    </w:p>
    <w:p w14:paraId="668B9EE6" w14:textId="77777777" w:rsidR="00C07BB5" w:rsidRDefault="00C07BB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C07BB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A9591" w14:textId="77777777" w:rsidR="00A317C1" w:rsidRDefault="00A317C1">
      <w:pPr>
        <w:spacing w:after="0" w:line="240" w:lineRule="auto"/>
      </w:pPr>
      <w:r>
        <w:separator/>
      </w:r>
    </w:p>
  </w:endnote>
  <w:endnote w:type="continuationSeparator" w:id="0">
    <w:p w14:paraId="1878A01B" w14:textId="77777777" w:rsidR="00A317C1" w:rsidRDefault="00A31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4A4D" w14:textId="77777777" w:rsidR="00C07BB5" w:rsidRDefault="00C07BB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9EAF5" w14:textId="77777777" w:rsidR="00A317C1" w:rsidRDefault="00A317C1">
      <w:pPr>
        <w:spacing w:after="0" w:line="240" w:lineRule="auto"/>
      </w:pPr>
      <w:r>
        <w:separator/>
      </w:r>
    </w:p>
  </w:footnote>
  <w:footnote w:type="continuationSeparator" w:id="0">
    <w:p w14:paraId="17F7B65B" w14:textId="77777777" w:rsidR="00A317C1" w:rsidRDefault="00A31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8199B" w14:textId="77777777" w:rsidR="00C07BB5" w:rsidRDefault="00C07BB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4CA"/>
    <w:rsid w:val="009C2C14"/>
    <w:rsid w:val="00A317C1"/>
    <w:rsid w:val="00C07BB5"/>
    <w:rsid w:val="00CE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D9EDCE"/>
  <w14:defaultImageDpi w14:val="0"/>
  <w15:docId w15:val="{1C1AEB8E-4B2A-4FC9-B498-B91E73A7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2626</Words>
  <Characters>14969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2024-06-17T21:13:00Z</dcterms:created>
  <dcterms:modified xsi:type="dcterms:W3CDTF">2024-06-17T21:13:00Z</dcterms:modified>
  <cp:category>Design Build</cp:category>
</cp:coreProperties>
</file>