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956AA6" w14:textId="77777777" w:rsidR="00000000" w:rsidRDefault="00000000">
      <w:pPr>
        <w:pStyle w:val="UFCtable"/>
        <w:spacing w:after="120"/>
      </w:pPr>
      <w:bookmarkStart w:id="0" w:name="_Toc107214796"/>
      <w:r>
        <w:t>TABLE 4-10.1.  TEEN ROOM/LOUNGE</w:t>
      </w:r>
      <w:bookmarkEnd w:id="0"/>
    </w:p>
    <w:p w14:paraId="70292A9C" w14:textId="77777777" w:rsidR="00000000" w:rsidRDefault="00000000">
      <w:pPr>
        <w:rPr>
          <w:sz w:val="2"/>
          <w:szCs w:val="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8"/>
        <w:gridCol w:w="7920"/>
      </w:tblGrid>
      <w:tr w:rsidR="00000000" w14:paraId="08B600F4" w14:textId="77777777">
        <w:tblPrEx>
          <w:tblCellMar>
            <w:top w:w="0" w:type="dxa"/>
            <w:bottom w:w="0" w:type="dxa"/>
          </w:tblCellMar>
        </w:tblPrEx>
        <w:trPr>
          <w:cantSplit/>
        </w:trPr>
        <w:tc>
          <w:tcPr>
            <w:tcW w:w="1728" w:type="dxa"/>
            <w:tcBorders>
              <w:right w:val="nil"/>
            </w:tcBorders>
          </w:tcPr>
          <w:p w14:paraId="7654875F" w14:textId="77777777" w:rsidR="00000000" w:rsidRDefault="00000000">
            <w:pPr>
              <w:pStyle w:val="tabletext"/>
              <w:rPr>
                <w:b/>
                <w:bCs/>
              </w:rPr>
            </w:pPr>
            <w:r>
              <w:rPr>
                <w:b/>
                <w:bCs/>
              </w:rPr>
              <w:t>Description/</w:t>
            </w:r>
            <w:r>
              <w:rPr>
                <w:b/>
                <w:bCs/>
              </w:rPr>
              <w:br/>
              <w:t>Usage</w:t>
            </w:r>
          </w:p>
        </w:tc>
        <w:tc>
          <w:tcPr>
            <w:tcW w:w="7920" w:type="dxa"/>
            <w:tcBorders>
              <w:left w:val="nil"/>
            </w:tcBorders>
          </w:tcPr>
          <w:p w14:paraId="23DA4C83" w14:textId="07C688FA" w:rsidR="00000000" w:rsidRDefault="00000000">
            <w:pPr>
              <w:pStyle w:val="tabletext"/>
            </w:pPr>
            <w:r>
              <w:t xml:space="preserve">This space allows teens to socialize during group games as well as have access to more independent activities like computers or watching television in a home-like environment.  Consider an irregular shaped room that can be zoned for different activities.  However, do not create blind spots.  This room must feel private but still connected to the rest of the center.  Consider visual access from the Check-in.  </w:t>
            </w:r>
            <w:r>
              <w:br/>
            </w:r>
            <w:r w:rsidR="004457FB">
              <w:rPr>
                <w:noProof/>
                <w:position w:val="-8"/>
                <w:szCs w:val="20"/>
              </w:rPr>
              <w:drawing>
                <wp:inline distT="0" distB="0" distL="0" distR="0" wp14:anchorId="726DDD2C" wp14:editId="2CFA1B7C">
                  <wp:extent cx="276225" cy="200025"/>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r>
              <w:t xml:space="preserve">  Navy requires visual access from Check-in.</w:t>
            </w:r>
          </w:p>
        </w:tc>
      </w:tr>
      <w:tr w:rsidR="00000000" w14:paraId="5E45A3EB" w14:textId="77777777">
        <w:tblPrEx>
          <w:tblCellMar>
            <w:top w:w="0" w:type="dxa"/>
            <w:bottom w:w="0" w:type="dxa"/>
          </w:tblCellMar>
        </w:tblPrEx>
        <w:trPr>
          <w:cantSplit/>
        </w:trPr>
        <w:tc>
          <w:tcPr>
            <w:tcW w:w="1728" w:type="dxa"/>
            <w:tcBorders>
              <w:right w:val="nil"/>
            </w:tcBorders>
          </w:tcPr>
          <w:p w14:paraId="494F4F6E" w14:textId="77777777" w:rsidR="00000000" w:rsidRDefault="00000000">
            <w:pPr>
              <w:pStyle w:val="tabletext"/>
              <w:rPr>
                <w:b/>
                <w:bCs/>
              </w:rPr>
            </w:pPr>
            <w:r>
              <w:rPr>
                <w:b/>
                <w:bCs/>
              </w:rPr>
              <w:t>Min. Ceiling Ht.</w:t>
            </w:r>
          </w:p>
        </w:tc>
        <w:tc>
          <w:tcPr>
            <w:tcW w:w="7920" w:type="dxa"/>
            <w:tcBorders>
              <w:left w:val="nil"/>
            </w:tcBorders>
          </w:tcPr>
          <w:p w14:paraId="02A7110C" w14:textId="77777777" w:rsidR="00000000" w:rsidRDefault="00000000">
            <w:pPr>
              <w:pStyle w:val="tabletext"/>
            </w:pPr>
            <w:r>
              <w:t>2.4 m (8 ft.) minimum with 3.66 m (12 ft.) recommended.  Consider varying the ceiling heights and finishes to provide interest and a variety of scale.  If a pool table is included, provide at least 3.35 m (11 ft.) over the table.</w:t>
            </w:r>
          </w:p>
        </w:tc>
      </w:tr>
      <w:tr w:rsidR="00000000" w14:paraId="13EBFBF3" w14:textId="77777777">
        <w:tblPrEx>
          <w:tblCellMar>
            <w:top w:w="0" w:type="dxa"/>
            <w:bottom w:w="0" w:type="dxa"/>
          </w:tblCellMar>
        </w:tblPrEx>
        <w:trPr>
          <w:cantSplit/>
        </w:trPr>
        <w:tc>
          <w:tcPr>
            <w:tcW w:w="1728" w:type="dxa"/>
            <w:tcBorders>
              <w:top w:val="nil"/>
              <w:bottom w:val="nil"/>
              <w:right w:val="nil"/>
            </w:tcBorders>
          </w:tcPr>
          <w:p w14:paraId="30AE4ECF" w14:textId="77777777" w:rsidR="00000000" w:rsidRDefault="00000000">
            <w:pPr>
              <w:pStyle w:val="tabletext"/>
              <w:rPr>
                <w:b/>
                <w:bCs/>
              </w:rPr>
            </w:pPr>
            <w:r>
              <w:rPr>
                <w:b/>
                <w:bCs/>
              </w:rPr>
              <w:t>Finishes</w:t>
            </w:r>
          </w:p>
        </w:tc>
        <w:tc>
          <w:tcPr>
            <w:tcW w:w="7920" w:type="dxa"/>
            <w:tcBorders>
              <w:top w:val="nil"/>
              <w:left w:val="nil"/>
              <w:bottom w:val="nil"/>
            </w:tcBorders>
          </w:tcPr>
          <w:p w14:paraId="2A121CEA" w14:textId="77777777" w:rsidR="00000000" w:rsidRDefault="00000000">
            <w:pPr>
              <w:pStyle w:val="tabletext"/>
            </w:pPr>
            <w:r>
              <w:rPr>
                <w:b/>
                <w:bCs/>
              </w:rPr>
              <w:t xml:space="preserve">Walls. </w:t>
            </w:r>
            <w:r>
              <w:t xml:space="preserve"> Gypsum wallboard—first 1.22 m (4 ft.) with a protective wall covering wainscot and paint above 1.22 m (4 ft.).</w:t>
            </w:r>
          </w:p>
        </w:tc>
      </w:tr>
      <w:tr w:rsidR="00000000" w14:paraId="0C79BD0C" w14:textId="77777777">
        <w:tblPrEx>
          <w:tblCellMar>
            <w:top w:w="0" w:type="dxa"/>
            <w:bottom w:w="0" w:type="dxa"/>
          </w:tblCellMar>
        </w:tblPrEx>
        <w:trPr>
          <w:cantSplit/>
        </w:trPr>
        <w:tc>
          <w:tcPr>
            <w:tcW w:w="1728" w:type="dxa"/>
            <w:tcBorders>
              <w:top w:val="nil"/>
              <w:bottom w:val="nil"/>
              <w:right w:val="nil"/>
            </w:tcBorders>
          </w:tcPr>
          <w:p w14:paraId="5F2D62EE" w14:textId="77777777" w:rsidR="00000000" w:rsidRDefault="00000000">
            <w:pPr>
              <w:pStyle w:val="tabletext"/>
            </w:pPr>
          </w:p>
        </w:tc>
        <w:tc>
          <w:tcPr>
            <w:tcW w:w="7920" w:type="dxa"/>
            <w:tcBorders>
              <w:top w:val="nil"/>
              <w:left w:val="nil"/>
              <w:bottom w:val="nil"/>
            </w:tcBorders>
          </w:tcPr>
          <w:p w14:paraId="6B393381" w14:textId="77777777" w:rsidR="00000000" w:rsidRDefault="00000000">
            <w:pPr>
              <w:pStyle w:val="tabletext"/>
            </w:pPr>
            <w:r>
              <w:rPr>
                <w:b/>
                <w:bCs/>
              </w:rPr>
              <w:t>Floor.</w:t>
            </w:r>
            <w:r>
              <w:t xml:space="preserve">  VCT, seamless vinyl, or carpet with vinyl or rubber base.  Also see Special Requirements below.</w:t>
            </w:r>
          </w:p>
        </w:tc>
      </w:tr>
      <w:tr w:rsidR="00000000" w14:paraId="0F5B85E1" w14:textId="77777777">
        <w:tblPrEx>
          <w:tblCellMar>
            <w:top w:w="0" w:type="dxa"/>
            <w:bottom w:w="0" w:type="dxa"/>
          </w:tblCellMar>
        </w:tblPrEx>
        <w:trPr>
          <w:cantSplit/>
        </w:trPr>
        <w:tc>
          <w:tcPr>
            <w:tcW w:w="1728" w:type="dxa"/>
            <w:tcBorders>
              <w:top w:val="nil"/>
              <w:bottom w:val="nil"/>
              <w:right w:val="nil"/>
            </w:tcBorders>
          </w:tcPr>
          <w:p w14:paraId="35563F77" w14:textId="77777777" w:rsidR="00000000" w:rsidRDefault="00000000">
            <w:pPr>
              <w:pStyle w:val="tabletext"/>
            </w:pPr>
          </w:p>
        </w:tc>
        <w:tc>
          <w:tcPr>
            <w:tcW w:w="7920" w:type="dxa"/>
            <w:tcBorders>
              <w:top w:val="nil"/>
              <w:left w:val="nil"/>
              <w:bottom w:val="nil"/>
            </w:tcBorders>
          </w:tcPr>
          <w:p w14:paraId="48CD845B" w14:textId="77777777" w:rsidR="00000000" w:rsidRDefault="00000000">
            <w:pPr>
              <w:pStyle w:val="tabletext"/>
            </w:pPr>
            <w:r>
              <w:rPr>
                <w:b/>
                <w:bCs/>
              </w:rPr>
              <w:t>Ceiling.</w:t>
            </w:r>
            <w:r>
              <w:t xml:space="preserve">  Primarily ACP with painted gypsum board used to help define other areas.</w:t>
            </w:r>
          </w:p>
        </w:tc>
      </w:tr>
      <w:tr w:rsidR="00000000" w14:paraId="0433D8DF" w14:textId="77777777">
        <w:tblPrEx>
          <w:tblCellMar>
            <w:top w:w="0" w:type="dxa"/>
            <w:bottom w:w="0" w:type="dxa"/>
          </w:tblCellMar>
        </w:tblPrEx>
        <w:trPr>
          <w:cantSplit/>
        </w:trPr>
        <w:tc>
          <w:tcPr>
            <w:tcW w:w="1728" w:type="dxa"/>
            <w:tcBorders>
              <w:right w:val="nil"/>
            </w:tcBorders>
          </w:tcPr>
          <w:p w14:paraId="452BD504" w14:textId="77777777" w:rsidR="00000000" w:rsidRDefault="00000000">
            <w:pPr>
              <w:pStyle w:val="tabletext"/>
              <w:rPr>
                <w:b/>
                <w:bCs/>
              </w:rPr>
            </w:pPr>
            <w:r>
              <w:rPr>
                <w:b/>
                <w:bCs/>
              </w:rPr>
              <w:t>Plumbing</w:t>
            </w:r>
          </w:p>
        </w:tc>
        <w:tc>
          <w:tcPr>
            <w:tcW w:w="7920" w:type="dxa"/>
            <w:tcBorders>
              <w:left w:val="nil"/>
            </w:tcBorders>
          </w:tcPr>
          <w:p w14:paraId="3D97D0D9" w14:textId="77777777" w:rsidR="00000000" w:rsidRDefault="00000000">
            <w:pPr>
              <w:pStyle w:val="tabletext"/>
            </w:pPr>
            <w:r>
              <w:t>None required.</w:t>
            </w:r>
          </w:p>
        </w:tc>
      </w:tr>
      <w:tr w:rsidR="00000000" w14:paraId="05AC19F5" w14:textId="77777777">
        <w:tblPrEx>
          <w:tblCellMar>
            <w:top w:w="0" w:type="dxa"/>
            <w:bottom w:w="0" w:type="dxa"/>
          </w:tblCellMar>
        </w:tblPrEx>
        <w:trPr>
          <w:cantSplit/>
        </w:trPr>
        <w:tc>
          <w:tcPr>
            <w:tcW w:w="1728" w:type="dxa"/>
            <w:tcBorders>
              <w:right w:val="nil"/>
            </w:tcBorders>
          </w:tcPr>
          <w:p w14:paraId="541393CA" w14:textId="77777777" w:rsidR="00000000" w:rsidRDefault="00000000">
            <w:pPr>
              <w:pStyle w:val="tabletext"/>
              <w:rPr>
                <w:b/>
                <w:bCs/>
              </w:rPr>
            </w:pPr>
            <w:r>
              <w:rPr>
                <w:b/>
                <w:bCs/>
              </w:rPr>
              <w:t>HVAC</w:t>
            </w:r>
          </w:p>
        </w:tc>
        <w:tc>
          <w:tcPr>
            <w:tcW w:w="7920" w:type="dxa"/>
            <w:tcBorders>
              <w:left w:val="nil"/>
            </w:tcBorders>
          </w:tcPr>
          <w:p w14:paraId="0E198FBE" w14:textId="77777777" w:rsidR="00000000" w:rsidRDefault="00000000">
            <w:pPr>
              <w:pStyle w:val="tabletext"/>
            </w:pPr>
            <w:r>
              <w:t>20 C (68 F) minimum, 26 C (78 F) maximum.</w:t>
            </w:r>
          </w:p>
        </w:tc>
      </w:tr>
      <w:tr w:rsidR="00000000" w14:paraId="6D96AA18" w14:textId="77777777">
        <w:tblPrEx>
          <w:tblCellMar>
            <w:top w:w="0" w:type="dxa"/>
            <w:bottom w:w="0" w:type="dxa"/>
          </w:tblCellMar>
        </w:tblPrEx>
        <w:trPr>
          <w:cantSplit/>
        </w:trPr>
        <w:tc>
          <w:tcPr>
            <w:tcW w:w="1728" w:type="dxa"/>
            <w:tcBorders>
              <w:right w:val="nil"/>
            </w:tcBorders>
          </w:tcPr>
          <w:p w14:paraId="366C8CBE" w14:textId="77777777" w:rsidR="00000000" w:rsidRDefault="00000000">
            <w:pPr>
              <w:pStyle w:val="tabletext"/>
              <w:rPr>
                <w:b/>
                <w:bCs/>
              </w:rPr>
            </w:pPr>
            <w:r>
              <w:rPr>
                <w:b/>
                <w:bCs/>
              </w:rPr>
              <w:t>Fire Protection</w:t>
            </w:r>
          </w:p>
        </w:tc>
        <w:tc>
          <w:tcPr>
            <w:tcW w:w="7920" w:type="dxa"/>
            <w:tcBorders>
              <w:left w:val="nil"/>
            </w:tcBorders>
          </w:tcPr>
          <w:p w14:paraId="7D602C76" w14:textId="77777777" w:rsidR="00000000" w:rsidRDefault="00000000">
            <w:pPr>
              <w:pStyle w:val="tabletext"/>
            </w:pPr>
            <w:r>
              <w:t>Provide system per paragraph 3-5.3.</w:t>
            </w:r>
          </w:p>
        </w:tc>
      </w:tr>
      <w:tr w:rsidR="00000000" w14:paraId="394A43F8" w14:textId="77777777">
        <w:tblPrEx>
          <w:tblCellMar>
            <w:top w:w="0" w:type="dxa"/>
            <w:bottom w:w="0" w:type="dxa"/>
          </w:tblCellMar>
        </w:tblPrEx>
        <w:trPr>
          <w:cantSplit/>
        </w:trPr>
        <w:tc>
          <w:tcPr>
            <w:tcW w:w="1728" w:type="dxa"/>
            <w:tcBorders>
              <w:right w:val="nil"/>
            </w:tcBorders>
          </w:tcPr>
          <w:p w14:paraId="4808450B" w14:textId="77777777" w:rsidR="00000000" w:rsidRDefault="00000000">
            <w:pPr>
              <w:pStyle w:val="tabletext"/>
              <w:rPr>
                <w:b/>
                <w:bCs/>
              </w:rPr>
            </w:pPr>
            <w:r>
              <w:rPr>
                <w:b/>
                <w:bCs/>
              </w:rPr>
              <w:t>Power</w:t>
            </w:r>
          </w:p>
        </w:tc>
        <w:tc>
          <w:tcPr>
            <w:tcW w:w="7920" w:type="dxa"/>
            <w:tcBorders>
              <w:left w:val="nil"/>
            </w:tcBorders>
          </w:tcPr>
          <w:p w14:paraId="004D8740" w14:textId="77777777" w:rsidR="00000000" w:rsidRDefault="00000000">
            <w:pPr>
              <w:pStyle w:val="tabletext"/>
            </w:pPr>
            <w:r>
              <w:t>As a minimum, provide duplex outlets at 2.44 m (8 ft.) on-center.  An area within the Teen Room/Lounge should provide duplex outlets at 1.22 m (4 ft.) on-center for video games and provide one duplex outlet at each TV cable outlet. Also provide outlets at counter height for portable electronic devices such as CD players and laptops.  Provide power at data outlet locations.</w:t>
            </w:r>
          </w:p>
        </w:tc>
      </w:tr>
      <w:tr w:rsidR="00000000" w14:paraId="5C69DF58" w14:textId="77777777">
        <w:tblPrEx>
          <w:tblCellMar>
            <w:top w:w="0" w:type="dxa"/>
            <w:bottom w:w="0" w:type="dxa"/>
          </w:tblCellMar>
        </w:tblPrEx>
        <w:trPr>
          <w:cantSplit/>
        </w:trPr>
        <w:tc>
          <w:tcPr>
            <w:tcW w:w="1728" w:type="dxa"/>
            <w:tcBorders>
              <w:right w:val="nil"/>
            </w:tcBorders>
          </w:tcPr>
          <w:p w14:paraId="711E50E4" w14:textId="77777777" w:rsidR="00000000" w:rsidRDefault="00000000">
            <w:pPr>
              <w:pStyle w:val="tabletext"/>
              <w:rPr>
                <w:b/>
                <w:bCs/>
              </w:rPr>
            </w:pPr>
            <w:r>
              <w:rPr>
                <w:b/>
                <w:bCs/>
              </w:rPr>
              <w:t>Lighting</w:t>
            </w:r>
          </w:p>
        </w:tc>
        <w:tc>
          <w:tcPr>
            <w:tcW w:w="7920" w:type="dxa"/>
            <w:tcBorders>
              <w:left w:val="nil"/>
            </w:tcBorders>
          </w:tcPr>
          <w:p w14:paraId="33123437" w14:textId="77777777" w:rsidR="00000000" w:rsidRDefault="00000000">
            <w:pPr>
              <w:pStyle w:val="tabletext"/>
            </w:pPr>
            <w:r>
              <w:t>215 to 430 lux (20 to 40 fc) general ambient lighting.  Provide a variety of accent lighting fixtures to create interest.  Consider providing dimming in some areas.</w:t>
            </w:r>
          </w:p>
        </w:tc>
      </w:tr>
      <w:tr w:rsidR="00000000" w14:paraId="3ADAF26A" w14:textId="77777777">
        <w:tblPrEx>
          <w:tblCellMar>
            <w:top w:w="0" w:type="dxa"/>
            <w:bottom w:w="0" w:type="dxa"/>
          </w:tblCellMar>
        </w:tblPrEx>
        <w:trPr>
          <w:cantSplit/>
        </w:trPr>
        <w:tc>
          <w:tcPr>
            <w:tcW w:w="1728" w:type="dxa"/>
            <w:tcBorders>
              <w:bottom w:val="single" w:sz="4" w:space="0" w:color="auto"/>
              <w:right w:val="nil"/>
            </w:tcBorders>
          </w:tcPr>
          <w:p w14:paraId="64AA2A1A" w14:textId="77777777" w:rsidR="00000000" w:rsidRDefault="00000000">
            <w:pPr>
              <w:pStyle w:val="tabletext"/>
              <w:rPr>
                <w:b/>
                <w:bCs/>
              </w:rPr>
            </w:pPr>
            <w:r>
              <w:rPr>
                <w:b/>
                <w:bCs/>
              </w:rPr>
              <w:t>Communication</w:t>
            </w:r>
          </w:p>
        </w:tc>
        <w:tc>
          <w:tcPr>
            <w:tcW w:w="7920" w:type="dxa"/>
            <w:tcBorders>
              <w:left w:val="nil"/>
              <w:bottom w:val="single" w:sz="4" w:space="0" w:color="auto"/>
            </w:tcBorders>
          </w:tcPr>
          <w:p w14:paraId="6F1E204D" w14:textId="77777777" w:rsidR="00000000" w:rsidRDefault="00000000">
            <w:pPr>
              <w:pStyle w:val="tabletext"/>
            </w:pPr>
            <w:r>
              <w:rPr>
                <w:b/>
                <w:bCs/>
              </w:rPr>
              <w:t xml:space="preserve">CCTV. </w:t>
            </w:r>
            <w:r>
              <w:rPr>
                <w:bCs/>
              </w:rPr>
              <w:t xml:space="preserve"> Provide at least one outlet.</w:t>
            </w:r>
          </w:p>
          <w:p w14:paraId="71CA29A6" w14:textId="77777777" w:rsidR="00000000" w:rsidRDefault="00000000">
            <w:pPr>
              <w:pStyle w:val="tabletext"/>
            </w:pPr>
            <w:r>
              <w:rPr>
                <w:b/>
                <w:bCs/>
              </w:rPr>
              <w:t>CATV/Internal Video.</w:t>
            </w:r>
            <w:r>
              <w:t xml:space="preserve">  Provide at least one outlet.</w:t>
            </w:r>
          </w:p>
          <w:p w14:paraId="73ACB2EC" w14:textId="77777777" w:rsidR="00000000" w:rsidRDefault="00000000">
            <w:pPr>
              <w:pStyle w:val="tabletext"/>
            </w:pPr>
            <w:r>
              <w:rPr>
                <w:b/>
                <w:bCs/>
              </w:rPr>
              <w:t xml:space="preserve">PA/Audio. </w:t>
            </w:r>
            <w:r>
              <w:rPr>
                <w:bCs/>
              </w:rPr>
              <w:t xml:space="preserve"> Provide a speaker.</w:t>
            </w:r>
          </w:p>
          <w:p w14:paraId="4358FE0C" w14:textId="77777777" w:rsidR="00000000" w:rsidRDefault="00000000">
            <w:pPr>
              <w:pStyle w:val="tabletext"/>
            </w:pPr>
            <w:r>
              <w:rPr>
                <w:b/>
                <w:bCs/>
              </w:rPr>
              <w:t>Telephone.</w:t>
            </w:r>
            <w:r>
              <w:t xml:space="preserve">  Provide one line with internal two-way communication.</w:t>
            </w:r>
          </w:p>
          <w:p w14:paraId="4816E501" w14:textId="77777777" w:rsidR="00000000" w:rsidRDefault="00000000">
            <w:pPr>
              <w:pStyle w:val="tabletext"/>
            </w:pPr>
            <w:r>
              <w:rPr>
                <w:b/>
                <w:bCs/>
              </w:rPr>
              <w:t xml:space="preserve">Data. </w:t>
            </w:r>
            <w:r>
              <w:t xml:space="preserve"> Provide at least two outlets. </w:t>
            </w:r>
          </w:p>
          <w:p w14:paraId="315C3E9E" w14:textId="77777777" w:rsidR="00000000" w:rsidRDefault="00000000">
            <w:pPr>
              <w:pStyle w:val="tabletext"/>
            </w:pPr>
            <w:r>
              <w:rPr>
                <w:b/>
                <w:bCs/>
              </w:rPr>
              <w:t>Security.</w:t>
            </w:r>
            <w:r>
              <w:t xml:space="preserve">  Provide vision panels on all doors. Do not create corners or “nooks” that are not visible from other areas of the room.</w:t>
            </w:r>
          </w:p>
        </w:tc>
      </w:tr>
      <w:tr w:rsidR="00000000" w14:paraId="475AFD47" w14:textId="77777777">
        <w:tblPrEx>
          <w:tblCellMar>
            <w:top w:w="0" w:type="dxa"/>
            <w:bottom w:w="0" w:type="dxa"/>
          </w:tblCellMar>
        </w:tblPrEx>
        <w:trPr>
          <w:cantSplit/>
        </w:trPr>
        <w:tc>
          <w:tcPr>
            <w:tcW w:w="1728" w:type="dxa"/>
            <w:tcBorders>
              <w:bottom w:val="single" w:sz="4" w:space="0" w:color="auto"/>
              <w:right w:val="nil"/>
            </w:tcBorders>
          </w:tcPr>
          <w:p w14:paraId="7C929D21" w14:textId="77777777" w:rsidR="00000000" w:rsidRDefault="00000000">
            <w:pPr>
              <w:pStyle w:val="tabletext"/>
              <w:rPr>
                <w:b/>
                <w:bCs/>
              </w:rPr>
            </w:pPr>
            <w:r>
              <w:rPr>
                <w:b/>
                <w:bCs/>
              </w:rPr>
              <w:t>Casework</w:t>
            </w:r>
          </w:p>
        </w:tc>
        <w:tc>
          <w:tcPr>
            <w:tcW w:w="7920" w:type="dxa"/>
            <w:tcBorders>
              <w:left w:val="nil"/>
              <w:bottom w:val="single" w:sz="4" w:space="0" w:color="auto"/>
            </w:tcBorders>
          </w:tcPr>
          <w:p w14:paraId="1FA2E5EA" w14:textId="77777777" w:rsidR="00000000" w:rsidRDefault="00000000">
            <w:pPr>
              <w:pStyle w:val="tabletext"/>
            </w:pPr>
            <w:r>
              <w:t>Consider counter and base cabinets.</w:t>
            </w:r>
          </w:p>
        </w:tc>
      </w:tr>
      <w:tr w:rsidR="00000000" w14:paraId="46F17C1C" w14:textId="77777777">
        <w:tblPrEx>
          <w:tblCellMar>
            <w:top w:w="0" w:type="dxa"/>
            <w:bottom w:w="0" w:type="dxa"/>
          </w:tblCellMar>
        </w:tblPrEx>
        <w:trPr>
          <w:cantSplit/>
        </w:trPr>
        <w:tc>
          <w:tcPr>
            <w:tcW w:w="1728" w:type="dxa"/>
            <w:tcBorders>
              <w:bottom w:val="nil"/>
              <w:right w:val="nil"/>
            </w:tcBorders>
          </w:tcPr>
          <w:p w14:paraId="08B35A46" w14:textId="77777777" w:rsidR="00000000" w:rsidRDefault="00000000">
            <w:pPr>
              <w:pStyle w:val="tabletext"/>
              <w:rPr>
                <w:b/>
                <w:bCs/>
              </w:rPr>
            </w:pPr>
            <w:r>
              <w:rPr>
                <w:b/>
                <w:bCs/>
              </w:rPr>
              <w:t>Furnishings Fixtures &amp; Equip. (FF&amp;E)</w:t>
            </w:r>
          </w:p>
        </w:tc>
        <w:tc>
          <w:tcPr>
            <w:tcW w:w="7920" w:type="dxa"/>
            <w:tcBorders>
              <w:left w:val="nil"/>
              <w:bottom w:val="nil"/>
            </w:tcBorders>
          </w:tcPr>
          <w:p w14:paraId="639ADBDC" w14:textId="77777777" w:rsidR="00000000" w:rsidRDefault="00000000">
            <w:pPr>
              <w:pStyle w:val="tabletext"/>
            </w:pPr>
            <w:r>
              <w:t>Tables, chairs, stools, soft and padded furniture, lamps, bookshelves, coffee table, television, stereo, CD player, computers, video games, table games (foosball, pool), and tack board.</w:t>
            </w:r>
          </w:p>
        </w:tc>
      </w:tr>
      <w:tr w:rsidR="00000000" w14:paraId="4C2F4D8E" w14:textId="77777777">
        <w:tblPrEx>
          <w:tblCellMar>
            <w:top w:w="0" w:type="dxa"/>
            <w:bottom w:w="0" w:type="dxa"/>
          </w:tblCellMar>
        </w:tblPrEx>
        <w:trPr>
          <w:cantSplit/>
        </w:trPr>
        <w:tc>
          <w:tcPr>
            <w:tcW w:w="1728" w:type="dxa"/>
            <w:tcBorders>
              <w:top w:val="single" w:sz="4" w:space="0" w:color="auto"/>
              <w:bottom w:val="single" w:sz="4" w:space="0" w:color="auto"/>
              <w:right w:val="nil"/>
            </w:tcBorders>
          </w:tcPr>
          <w:p w14:paraId="39331B4F" w14:textId="77777777" w:rsidR="00000000" w:rsidRDefault="00000000">
            <w:pPr>
              <w:pStyle w:val="tabletext"/>
              <w:rPr>
                <w:b/>
                <w:bCs/>
              </w:rPr>
            </w:pPr>
            <w:r>
              <w:rPr>
                <w:b/>
                <w:bCs/>
              </w:rPr>
              <w:t>Special Requirements</w:t>
            </w:r>
          </w:p>
        </w:tc>
        <w:tc>
          <w:tcPr>
            <w:tcW w:w="7920" w:type="dxa"/>
            <w:tcBorders>
              <w:top w:val="single" w:sz="4" w:space="0" w:color="auto"/>
              <w:left w:val="nil"/>
              <w:bottom w:val="single" w:sz="4" w:space="0" w:color="auto"/>
            </w:tcBorders>
          </w:tcPr>
          <w:p w14:paraId="78AB7711" w14:textId="77777777" w:rsidR="00000000" w:rsidRDefault="00000000">
            <w:pPr>
              <w:pStyle w:val="tabletext"/>
            </w:pPr>
            <w:r>
              <w:t>Provide tackable surfaces on the walls.  Consider large windows in the interior walls, but avoid putting the Teens “on display” to other patrons.  Interior windows work best in walls common with staff areas for supervision.</w:t>
            </w:r>
          </w:p>
          <w:p w14:paraId="6503D16B" w14:textId="76DACAA1" w:rsidR="00000000" w:rsidRDefault="00000000">
            <w:pPr>
              <w:pStyle w:val="tabletext"/>
            </w:pPr>
            <w:r>
              <w:t>Provide lockable exterior doors to patio.</w:t>
            </w:r>
            <w:r>
              <w:rPr>
                <w:bCs/>
              </w:rPr>
              <w:t xml:space="preserve">  </w:t>
            </w:r>
            <w:r w:rsidR="004457FB">
              <w:rPr>
                <w:noProof/>
                <w:position w:val="-8"/>
                <w:szCs w:val="20"/>
              </w:rPr>
              <w:drawing>
                <wp:inline distT="0" distB="0" distL="0" distR="0" wp14:anchorId="7BCAD425" wp14:editId="1426BBAA">
                  <wp:extent cx="276225" cy="2000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r>
              <w:t xml:space="preserve"> Navy requires that exterior doors are visible from Check-in.</w:t>
            </w:r>
          </w:p>
          <w:p w14:paraId="5E85D4A7" w14:textId="77777777" w:rsidR="00000000" w:rsidRDefault="00000000">
            <w:pPr>
              <w:pStyle w:val="tabletext"/>
            </w:pPr>
            <w:r>
              <w:t>Provide a dedicated storage closet (included in the space program) with hanging rods and/or shelves.</w:t>
            </w:r>
          </w:p>
          <w:p w14:paraId="4F3C0241" w14:textId="622F6913" w:rsidR="00000000" w:rsidRDefault="004457FB">
            <w:pPr>
              <w:pStyle w:val="tabletext"/>
            </w:pPr>
            <w:r>
              <w:rPr>
                <w:noProof/>
                <w:position w:val="-8"/>
                <w:szCs w:val="20"/>
              </w:rPr>
              <w:drawing>
                <wp:inline distT="0" distB="0" distL="0" distR="0" wp14:anchorId="2F3996B0" wp14:editId="66819464">
                  <wp:extent cx="276225" cy="200025"/>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r w:rsidR="00000000">
              <w:t xml:space="preserve">  For Navy facilities, provide an eating area with hard-surfaced floor (consider stained concrete) and two- and four-top tables and chairs.  Consider providing a separate pass-through from the Snack Bar into the Teen Room/Lounge. </w:t>
            </w:r>
          </w:p>
        </w:tc>
      </w:tr>
      <w:tr w:rsidR="00000000" w14:paraId="395CA2A3" w14:textId="77777777">
        <w:tblPrEx>
          <w:tblCellMar>
            <w:top w:w="0" w:type="dxa"/>
            <w:bottom w:w="0" w:type="dxa"/>
          </w:tblCellMar>
        </w:tblPrEx>
        <w:trPr>
          <w:cantSplit/>
        </w:trPr>
        <w:tc>
          <w:tcPr>
            <w:tcW w:w="9648" w:type="dxa"/>
            <w:gridSpan w:val="2"/>
            <w:tcBorders>
              <w:top w:val="single" w:sz="4" w:space="0" w:color="auto"/>
              <w:left w:val="single" w:sz="4" w:space="0" w:color="auto"/>
              <w:bottom w:val="nil"/>
              <w:right w:val="single" w:sz="4" w:space="0" w:color="auto"/>
            </w:tcBorders>
          </w:tcPr>
          <w:p w14:paraId="4DBF2789" w14:textId="77777777" w:rsidR="00000000" w:rsidRDefault="00000000">
            <w:pPr>
              <w:pStyle w:val="tablehead2"/>
            </w:pPr>
            <w:r>
              <w:t>For use during project execution by the appropriate Service agency</w:t>
            </w:r>
          </w:p>
        </w:tc>
      </w:tr>
      <w:tr w:rsidR="00000000" w14:paraId="410DF643" w14:textId="77777777">
        <w:tblPrEx>
          <w:tblCellMar>
            <w:top w:w="0" w:type="dxa"/>
            <w:bottom w:w="0" w:type="dxa"/>
          </w:tblCellMar>
        </w:tblPrEx>
        <w:trPr>
          <w:cantSplit/>
        </w:trPr>
        <w:tc>
          <w:tcPr>
            <w:tcW w:w="1728" w:type="dxa"/>
            <w:tcBorders>
              <w:top w:val="single" w:sz="4" w:space="0" w:color="auto"/>
              <w:left w:val="single" w:sz="4" w:space="0" w:color="auto"/>
              <w:bottom w:val="nil"/>
              <w:right w:val="nil"/>
            </w:tcBorders>
            <w:shd w:val="clear" w:color="auto" w:fill="C0C0C0"/>
          </w:tcPr>
          <w:p w14:paraId="31D82853" w14:textId="77777777" w:rsidR="00000000" w:rsidRDefault="00000000">
            <w:pPr>
              <w:pStyle w:val="tabletext"/>
              <w:rPr>
                <w:b/>
                <w:bCs/>
              </w:rPr>
            </w:pPr>
            <w:r>
              <w:rPr>
                <w:b/>
                <w:bCs/>
              </w:rPr>
              <w:t>Occupancy</w:t>
            </w:r>
          </w:p>
        </w:tc>
        <w:tc>
          <w:tcPr>
            <w:tcW w:w="7920" w:type="dxa"/>
            <w:tcBorders>
              <w:top w:val="single" w:sz="4" w:space="0" w:color="auto"/>
              <w:left w:val="nil"/>
              <w:bottom w:val="nil"/>
              <w:right w:val="single" w:sz="4" w:space="0" w:color="auto"/>
            </w:tcBorders>
            <w:shd w:val="clear" w:color="auto" w:fill="C0C0C0"/>
          </w:tcPr>
          <w:p w14:paraId="4C8FBB36" w14:textId="77777777" w:rsidR="00000000" w:rsidRDefault="00000000">
            <w:pPr>
              <w:pStyle w:val="tabletext"/>
            </w:pPr>
            <w:r>
              <w:t xml:space="preserve">Staff.  </w:t>
            </w:r>
          </w:p>
        </w:tc>
      </w:tr>
      <w:tr w:rsidR="00000000" w14:paraId="2EFC30E4" w14:textId="77777777">
        <w:tblPrEx>
          <w:tblCellMar>
            <w:top w:w="0" w:type="dxa"/>
            <w:bottom w:w="0" w:type="dxa"/>
          </w:tblCellMar>
        </w:tblPrEx>
        <w:trPr>
          <w:cantSplit/>
        </w:trPr>
        <w:tc>
          <w:tcPr>
            <w:tcW w:w="1728" w:type="dxa"/>
            <w:tcBorders>
              <w:top w:val="nil"/>
              <w:left w:val="single" w:sz="4" w:space="0" w:color="auto"/>
              <w:bottom w:val="single" w:sz="4" w:space="0" w:color="auto"/>
              <w:right w:val="nil"/>
            </w:tcBorders>
            <w:shd w:val="clear" w:color="auto" w:fill="C0C0C0"/>
          </w:tcPr>
          <w:p w14:paraId="4FAD348B" w14:textId="77777777" w:rsidR="00000000" w:rsidRDefault="00000000">
            <w:pPr>
              <w:pStyle w:val="tabletext"/>
              <w:rPr>
                <w:bCs/>
              </w:rPr>
            </w:pPr>
          </w:p>
        </w:tc>
        <w:tc>
          <w:tcPr>
            <w:tcW w:w="7920" w:type="dxa"/>
            <w:tcBorders>
              <w:top w:val="nil"/>
              <w:left w:val="nil"/>
              <w:bottom w:val="single" w:sz="4" w:space="0" w:color="auto"/>
              <w:right w:val="single" w:sz="4" w:space="0" w:color="auto"/>
            </w:tcBorders>
            <w:shd w:val="clear" w:color="auto" w:fill="C0C0C0"/>
          </w:tcPr>
          <w:p w14:paraId="42C587EC" w14:textId="77777777" w:rsidR="00000000" w:rsidRDefault="00000000">
            <w:pPr>
              <w:pStyle w:val="tabletext"/>
            </w:pPr>
            <w:r>
              <w:t xml:space="preserve">Patrons/Youth.  </w:t>
            </w:r>
          </w:p>
        </w:tc>
      </w:tr>
      <w:tr w:rsidR="00000000" w14:paraId="0DEC709F" w14:textId="77777777">
        <w:tblPrEx>
          <w:tblCellMar>
            <w:top w:w="0" w:type="dxa"/>
            <w:bottom w:w="0" w:type="dxa"/>
          </w:tblCellMar>
        </w:tblPrEx>
        <w:trPr>
          <w:cantSplit/>
        </w:trPr>
        <w:tc>
          <w:tcPr>
            <w:tcW w:w="1728" w:type="dxa"/>
            <w:tcBorders>
              <w:top w:val="single" w:sz="4" w:space="0" w:color="auto"/>
              <w:left w:val="single" w:sz="4" w:space="0" w:color="auto"/>
              <w:bottom w:val="single" w:sz="4" w:space="0" w:color="auto"/>
              <w:right w:val="nil"/>
            </w:tcBorders>
            <w:shd w:val="clear" w:color="auto" w:fill="C0C0C0"/>
          </w:tcPr>
          <w:p w14:paraId="1BEC7199" w14:textId="77777777" w:rsidR="00000000" w:rsidRDefault="00000000">
            <w:pPr>
              <w:pStyle w:val="tabletext"/>
              <w:rPr>
                <w:b/>
                <w:bCs/>
              </w:rPr>
            </w:pPr>
            <w:r>
              <w:rPr>
                <w:b/>
                <w:bCs/>
              </w:rPr>
              <w:lastRenderedPageBreak/>
              <w:t>Min. net m</w:t>
            </w:r>
            <w:r>
              <w:rPr>
                <w:b/>
                <w:bCs/>
                <w:vertAlign w:val="superscript"/>
              </w:rPr>
              <w:t>2</w:t>
            </w:r>
            <w:r>
              <w:rPr>
                <w:b/>
                <w:bCs/>
              </w:rPr>
              <w:t xml:space="preserve"> (ft</w:t>
            </w:r>
            <w:r>
              <w:rPr>
                <w:b/>
                <w:bCs/>
                <w:vertAlign w:val="superscript"/>
              </w:rPr>
              <w:t>2</w:t>
            </w:r>
            <w:r>
              <w:rPr>
                <w:b/>
                <w:bCs/>
              </w:rPr>
              <w:t>)</w:t>
            </w:r>
          </w:p>
        </w:tc>
        <w:tc>
          <w:tcPr>
            <w:tcW w:w="7920" w:type="dxa"/>
            <w:tcBorders>
              <w:top w:val="single" w:sz="4" w:space="0" w:color="auto"/>
              <w:left w:val="nil"/>
              <w:bottom w:val="single" w:sz="4" w:space="0" w:color="auto"/>
              <w:right w:val="single" w:sz="4" w:space="0" w:color="auto"/>
            </w:tcBorders>
            <w:shd w:val="clear" w:color="auto" w:fill="C0C0C0"/>
          </w:tcPr>
          <w:p w14:paraId="58CEBB18" w14:textId="77777777" w:rsidR="00000000" w:rsidRDefault="00000000">
            <w:pPr>
              <w:pStyle w:val="tabletext"/>
            </w:pPr>
          </w:p>
        </w:tc>
      </w:tr>
    </w:tbl>
    <w:p w14:paraId="42A942A0" w14:textId="77777777" w:rsidR="008C048E" w:rsidRDefault="008C048E"/>
    <w:sectPr w:rsidR="008C048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485EC0"/>
    <w:multiLevelType w:val="hybridMultilevel"/>
    <w:tmpl w:val="5392842E"/>
    <w:lvl w:ilvl="0" w:tplc="3D6A992C">
      <w:start w:val="1"/>
      <w:numFmt w:val="lowerLetter"/>
      <w:pStyle w:val="UFCletterbullet"/>
      <w:lvlText w:val="%1."/>
      <w:lvlJc w:val="left"/>
      <w:pPr>
        <w:tabs>
          <w:tab w:val="num" w:pos="1080"/>
        </w:tabs>
        <w:ind w:left="1080" w:hanging="360"/>
      </w:pPr>
      <w:rPr>
        <w:rFonts w:hint="default"/>
      </w:rPr>
    </w:lvl>
    <w:lvl w:ilvl="1" w:tplc="ADECBB58">
      <w:start w:val="1"/>
      <w:numFmt w:val="lowerLetter"/>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15900437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265"/>
    <w:rsid w:val="004457FB"/>
    <w:rsid w:val="00560265"/>
    <w:rsid w:val="008C04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D0CEC5"/>
  <w15:chartTrackingRefBased/>
  <w15:docId w15:val="{AB5A1653-E11F-4EF2-9191-6EAF40989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FCletterbullet">
    <w:name w:val="UFC letter bullet"/>
    <w:basedOn w:val="Normal"/>
    <w:pPr>
      <w:numPr>
        <w:numId w:val="1"/>
      </w:numPr>
    </w:pPr>
    <w:rPr>
      <w:rFonts w:ascii="Arial" w:hAnsi="Arial" w:cs="Arial"/>
      <w:szCs w:val="18"/>
    </w:rPr>
  </w:style>
  <w:style w:type="paragraph" w:customStyle="1" w:styleId="UFCtable">
    <w:name w:val="UFCtable"/>
    <w:basedOn w:val="Normal"/>
    <w:pPr>
      <w:spacing w:after="240"/>
      <w:jc w:val="center"/>
    </w:pPr>
    <w:rPr>
      <w:rFonts w:ascii="Arial" w:hAnsi="Arial" w:cs="Arial"/>
      <w:b/>
      <w:snapToGrid w:val="0"/>
    </w:rPr>
  </w:style>
  <w:style w:type="paragraph" w:customStyle="1" w:styleId="tabletext">
    <w:name w:val="table text"/>
    <w:basedOn w:val="Normal"/>
    <w:pPr>
      <w:spacing w:before="20" w:after="20"/>
    </w:pPr>
    <w:rPr>
      <w:rFonts w:ascii="Arial" w:eastAsia="Arial Unicode MS" w:hAnsi="Arial" w:cs="Arial"/>
      <w:sz w:val="20"/>
    </w:rPr>
  </w:style>
  <w:style w:type="paragraph" w:customStyle="1" w:styleId="tablehead2">
    <w:name w:val="table head2"/>
    <w:basedOn w:val="Normal"/>
    <w:pPr>
      <w:spacing w:before="60" w:after="60"/>
      <w:jc w:val="center"/>
    </w:pPr>
    <w:rPr>
      <w:rFonts w:ascii="Arial" w:hAnsi="Arial" w:cs="Arial"/>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479</Words>
  <Characters>2735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TABLE 4-10-1 Teen Room Lounge</vt:lpstr>
    </vt:vector>
  </TitlesOfParts>
  <Company>United States Department of Defense</Company>
  <LinksUpToDate>false</LinksUpToDate>
  <CharactersWithSpaces>3208</CharactersWithSpaces>
  <SharedDoc>false</SharedDoc>
  <HLinks>
    <vt:vector size="6" baseType="variant">
      <vt:variant>
        <vt:i4>6619251</vt:i4>
      </vt:variant>
      <vt:variant>
        <vt:i4>1489</vt:i4>
      </vt:variant>
      <vt:variant>
        <vt:i4>1025</vt:i4>
      </vt:variant>
      <vt:variant>
        <vt:i4>1</vt:i4>
      </vt:variant>
      <vt:variant>
        <vt:lpwstr>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4-10-1 Teen Room Lounge</dc:title>
  <dc:subject/>
  <cp:keywords/>
  <dc:description/>
  <cp:revision>2</cp:revision>
  <dcterms:created xsi:type="dcterms:W3CDTF">2024-06-06T15:55:00Z</dcterms:created>
  <dcterms:modified xsi:type="dcterms:W3CDTF">2024-06-06T15:55:00Z</dcterms:modified>
  <cp:category>UFC</cp:category>
</cp:coreProperties>
</file>