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8E849" w14:textId="77777777" w:rsidR="00000000" w:rsidRDefault="00000000">
      <w:pPr>
        <w:pStyle w:val="UFCtable"/>
      </w:pPr>
      <w:bookmarkStart w:id="0" w:name="_Toc107214775"/>
      <w:r>
        <w:t>TABLE 4-2.  CHECK-IN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00B696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363E5D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4A75B1EA" w14:textId="45ED539E" w:rsidR="00000000" w:rsidRDefault="006A7411">
            <w:pPr>
              <w:pStyle w:val="tabletext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02EBA02" wp14:editId="568BA2B1">
                  <wp:simplePos x="0" y="0"/>
                  <wp:positionH relativeFrom="column">
                    <wp:posOffset>2446020</wp:posOffset>
                  </wp:positionH>
                  <wp:positionV relativeFrom="paragraph">
                    <wp:posOffset>176530</wp:posOffset>
                  </wp:positionV>
                  <wp:extent cx="2459990" cy="1420495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990" cy="142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0000">
              <w:t xml:space="preserve">The Check-in area is the primary area to monitor and control access into and out of </w:t>
            </w:r>
            <w:r w:rsidR="00000000">
              <w:br/>
              <w:t xml:space="preserve">the building.  Youth will be checked in </w:t>
            </w:r>
            <w:r w:rsidR="00000000">
              <w:br/>
              <w:t xml:space="preserve">here, and all visitors must register at this </w:t>
            </w:r>
            <w:r w:rsidR="00000000">
              <w:br/>
              <w:t xml:space="preserve">point.  It must have visible control over all </w:t>
            </w:r>
            <w:r w:rsidR="00000000">
              <w:br/>
              <w:t xml:space="preserve">primary entrances/exits and the Commons </w:t>
            </w:r>
            <w:r w:rsidR="00000000">
              <w:br/>
              <w:t xml:space="preserve">and access points to other spaces.  </w:t>
            </w:r>
          </w:p>
          <w:p w14:paraId="2037300E" w14:textId="77777777" w:rsidR="00000000" w:rsidRDefault="00000000">
            <w:pPr>
              <w:pStyle w:val="tabletext"/>
            </w:pPr>
          </w:p>
          <w:p w14:paraId="003B5EF5" w14:textId="77777777" w:rsidR="00000000" w:rsidRDefault="00000000">
            <w:pPr>
              <w:pStyle w:val="tabletext"/>
            </w:pPr>
            <w:r>
              <w:t xml:space="preserve">Game supplies may be stored at the </w:t>
            </w:r>
            <w:r>
              <w:br/>
              <w:t xml:space="preserve">check-in desk.  The audio and CCTV </w:t>
            </w:r>
            <w:r>
              <w:br/>
              <w:t>controls will also be located here.</w:t>
            </w:r>
          </w:p>
        </w:tc>
      </w:tr>
      <w:tr w:rsidR="00000000" w14:paraId="64983F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7BD45C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3329C5DB" w14:textId="77777777" w:rsidR="00000000" w:rsidRDefault="00000000">
            <w:pPr>
              <w:pStyle w:val="tabletext"/>
            </w:pPr>
            <w:r>
              <w:t>2.74 m (9 ft.) minimum.</w:t>
            </w:r>
          </w:p>
        </w:tc>
      </w:tr>
      <w:tr w:rsidR="00000000" w14:paraId="5054A1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FC4E18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7F0DD29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Walls.</w:t>
            </w:r>
            <w:r>
              <w:t xml:space="preserve">  Painted gypsum wallboard.  Consider vinyl wall coverings.</w:t>
            </w:r>
          </w:p>
        </w:tc>
      </w:tr>
      <w:tr w:rsidR="00000000" w14:paraId="13FFD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9CC4EBB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0DF53BB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VCT with vinyl or rubber base.  Consider carpet or cushioning properties behind the counter.</w:t>
            </w:r>
          </w:p>
        </w:tc>
      </w:tr>
      <w:tr w:rsidR="00000000" w14:paraId="658A55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883A0B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CB8B87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  Consider using the ceiling to define and separate this area from the Lobby.</w:t>
            </w:r>
          </w:p>
        </w:tc>
      </w:tr>
      <w:tr w:rsidR="00000000" w14:paraId="6D7C0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6FECAE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77BB74C8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56F30C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B21900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61A01FDB" w14:textId="77777777" w:rsidR="00000000" w:rsidRDefault="00000000">
            <w:pPr>
              <w:pStyle w:val="tabletext"/>
            </w:pPr>
            <w:r>
              <w:t>20 C (68 F) minimum, 26 C (78 F) maximum</w:t>
            </w:r>
          </w:p>
        </w:tc>
      </w:tr>
      <w:tr w:rsidR="00000000" w14:paraId="3D2E94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52B7D2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306C1356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0394A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F03A63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0A0BD91C" w14:textId="77777777" w:rsidR="00000000" w:rsidRDefault="00000000">
            <w:pPr>
              <w:pStyle w:val="tabletext"/>
            </w:pPr>
            <w:r>
              <w:t>Provide power for all equipment.  Perform a power requirement survey, as this area’s power requirements are extremely site and locale specific.</w:t>
            </w:r>
          </w:p>
        </w:tc>
      </w:tr>
      <w:tr w:rsidR="00000000" w14:paraId="04BEF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9DDBA1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4A38EBE8" w14:textId="77777777" w:rsidR="00000000" w:rsidRDefault="00000000">
            <w:pPr>
              <w:pStyle w:val="tabletext"/>
            </w:pPr>
            <w:r>
              <w:t>540 lux (40 fc). General ambient lighting.  Provide task lighting; consider decorative fixtures.</w:t>
            </w:r>
          </w:p>
        </w:tc>
      </w:tr>
      <w:tr w:rsidR="00000000" w14:paraId="59A189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E2F5DD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6A30CB7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 xml:space="preserve">All lobby monitors must be viewable from this area.  </w:t>
            </w:r>
          </w:p>
          <w:p w14:paraId="6CFA687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5D85E3E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</w:t>
            </w:r>
            <w:r>
              <w:rPr>
                <w:bCs/>
              </w:rPr>
              <w:t xml:space="preserve"> PA controls.  </w:t>
            </w:r>
            <w:r>
              <w:t>Provide a speaker.</w:t>
            </w:r>
          </w:p>
          <w:p w14:paraId="74853D4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per two points of sale (POS).  Provide at least two additional general-purpose phone lines.</w:t>
            </w:r>
          </w:p>
          <w:p w14:paraId="368CD29E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Provide one outlet per POS.  Provide additional outlets, as needed, for associated hardware.</w:t>
            </w:r>
          </w:p>
          <w:p w14:paraId="5378BAC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1BCA49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529C79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4ED9FCF6" w14:textId="77777777" w:rsidR="00000000" w:rsidRDefault="00000000">
            <w:pPr>
              <w:pStyle w:val="tabletext"/>
            </w:pPr>
            <w:r>
              <w:t>Provide a 610 mm (24 in.) deep counter with built-in cabinets.  Provide file drawers and storage drawers with a minimum of two lockable drawers for each POS.  The counter should be dual height for standing transactions, seated office functions, and ADA customer service.  Note that ADA-height counter should have knee-hole space on both sides of the counter.  Consider a durable material for the counter such as solid surface—laminate edges are not permitted.  Consider supports such as steel angle braces for counters with knee-hole space.  Modesty panels and apron must be of durable materials.  Consider providing wall and base cabinets and equipment counter.</w:t>
            </w:r>
          </w:p>
        </w:tc>
      </w:tr>
      <w:tr w:rsidR="00000000" w14:paraId="688C85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3A7E0E8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Equip.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1100D8DE" w14:textId="77777777" w:rsidR="00000000" w:rsidRDefault="00000000">
            <w:pPr>
              <w:pStyle w:val="tabletext"/>
            </w:pPr>
            <w:r>
              <w:t xml:space="preserve">Point-of-Sale units, desktop computer for administrative functions.  CCTV monitors.  Printers.  Chairs and stools.  Scanner or swipe-card check-in device.  </w:t>
            </w:r>
          </w:p>
        </w:tc>
      </w:tr>
      <w:tr w:rsidR="00000000" w14:paraId="2ED9B6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E9887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2418D7" w14:textId="77777777" w:rsidR="00000000" w:rsidRDefault="00000000">
            <w:pPr>
              <w:pStyle w:val="tabletext"/>
            </w:pPr>
            <w:r>
              <w:t xml:space="preserve">Consider providing a gate between desk and surrounding area.  Consider providing a </w:t>
            </w:r>
            <w:r>
              <w:rPr>
                <w:szCs w:val="20"/>
              </w:rPr>
              <w:t>coiling door or grille at the counter to serve as a security screen</w:t>
            </w:r>
            <w:r>
              <w:t xml:space="preserve">. </w:t>
            </w:r>
          </w:p>
        </w:tc>
      </w:tr>
      <w:tr w:rsidR="00000000" w14:paraId="15DC92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2E3CBA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26970C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49F687D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11C751BA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53223D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BCC884F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95EFED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7C75E3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63AD827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273B866" w14:textId="77777777" w:rsidR="00000000" w:rsidRDefault="00000000">
            <w:pPr>
              <w:pStyle w:val="tabletext"/>
            </w:pPr>
          </w:p>
        </w:tc>
      </w:tr>
    </w:tbl>
    <w:p w14:paraId="51A05D79" w14:textId="77777777" w:rsidR="007D5228" w:rsidRDefault="007D5228"/>
    <w:sectPr w:rsidR="007D52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1651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1E"/>
    <w:rsid w:val="00646F1E"/>
    <w:rsid w:val="006A7411"/>
    <w:rsid w:val="007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0D5677"/>
  <w15:chartTrackingRefBased/>
  <w15:docId w15:val="{880F37B3-EF88-4231-A928-9B07D75E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4-2 Check-In</vt:lpstr>
    </vt:vector>
  </TitlesOfParts>
  <Company>United States Department of Defense</Company>
  <LinksUpToDate>false</LinksUpToDate>
  <CharactersWithSpaces>2716</CharactersWithSpaces>
  <SharedDoc>false</SharedDoc>
  <HLinks>
    <vt:vector size="6" baseType="variant">
      <vt:variant>
        <vt:i4>786505</vt:i4>
      </vt:variant>
      <vt:variant>
        <vt:i4>-1</vt:i4>
      </vt:variant>
      <vt:variant>
        <vt:i4>1026</vt:i4>
      </vt:variant>
      <vt:variant>
        <vt:i4>1</vt:i4>
      </vt:variant>
      <vt:variant>
        <vt:lpwstr>Fig%204-X%20Check-in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4-2 Check-In</dc:title>
  <dc:subject/>
  <cp:keywords/>
  <dc:description/>
  <cp:revision>2</cp:revision>
  <dcterms:created xsi:type="dcterms:W3CDTF">2024-06-06T18:59:00Z</dcterms:created>
  <dcterms:modified xsi:type="dcterms:W3CDTF">2024-06-06T18:59:00Z</dcterms:modified>
  <cp:category>UFC</cp:category>
</cp:coreProperties>
</file>