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67D9A" w14:textId="77777777" w:rsidR="00000000" w:rsidRDefault="00000000">
      <w:pPr>
        <w:pStyle w:val="UFCtable"/>
        <w:spacing w:after="120"/>
      </w:pPr>
      <w:bookmarkStart w:id="0" w:name="_Toc107214783"/>
      <w:r>
        <w:t>TABLE 4-4.2  OUTDOOR ACTIVITY AREA</w:t>
      </w:r>
      <w:bookmarkEnd w:id="0"/>
    </w:p>
    <w:p w14:paraId="406D6CD0" w14:textId="77777777" w:rsidR="00000000" w:rsidRDefault="00000000">
      <w:pPr>
        <w:rPr>
          <w:sz w:val="4"/>
          <w:szCs w:val="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69DA5E6E" w14:textId="77777777">
        <w:tblPrEx>
          <w:tblCellMar>
            <w:top w:w="0" w:type="dxa"/>
            <w:bottom w:w="0" w:type="dxa"/>
          </w:tblCellMar>
        </w:tblPrEx>
        <w:trPr>
          <w:cantSplit/>
        </w:trPr>
        <w:tc>
          <w:tcPr>
            <w:tcW w:w="1728" w:type="dxa"/>
            <w:tcBorders>
              <w:right w:val="nil"/>
            </w:tcBorders>
          </w:tcPr>
          <w:p w14:paraId="40F448AB" w14:textId="77777777" w:rsidR="00000000" w:rsidRDefault="00000000">
            <w:pPr>
              <w:pStyle w:val="tabletext"/>
              <w:rPr>
                <w:b/>
                <w:bCs/>
              </w:rPr>
            </w:pPr>
            <w:r>
              <w:rPr>
                <w:b/>
                <w:bCs/>
              </w:rPr>
              <w:t>Description/</w:t>
            </w:r>
            <w:r>
              <w:rPr>
                <w:b/>
                <w:bCs/>
              </w:rPr>
              <w:br/>
              <w:t>Usage</w:t>
            </w:r>
          </w:p>
        </w:tc>
        <w:tc>
          <w:tcPr>
            <w:tcW w:w="7920" w:type="dxa"/>
            <w:tcBorders>
              <w:left w:val="nil"/>
            </w:tcBorders>
          </w:tcPr>
          <w:p w14:paraId="7694B18B" w14:textId="77777777" w:rsidR="00000000" w:rsidRDefault="00000000">
            <w:pPr>
              <w:pStyle w:val="tabletext"/>
            </w:pPr>
            <w:r>
              <w:t>The Outdoor Activity Area should be designed to meet the requirements for NSACA accreditation.  It should be conducive to creative play and must include three zones:  hard-surface area, shaded area, and an open area.</w:t>
            </w:r>
          </w:p>
          <w:p w14:paraId="416C1124" w14:textId="77777777" w:rsidR="00000000" w:rsidRDefault="00000000">
            <w:pPr>
              <w:pStyle w:val="tabletext"/>
              <w:tabs>
                <w:tab w:val="left" w:pos="2547"/>
              </w:tabs>
            </w:pPr>
            <w:r>
              <w:t>A certified playground safety inspector should be involved in the design of the Outdoor Activity Area or, at a minimum, the design review.</w:t>
            </w:r>
          </w:p>
        </w:tc>
      </w:tr>
      <w:tr w:rsidR="00000000" w14:paraId="30C98AC5" w14:textId="77777777">
        <w:tblPrEx>
          <w:tblCellMar>
            <w:top w:w="0" w:type="dxa"/>
            <w:bottom w:w="0" w:type="dxa"/>
          </w:tblCellMar>
        </w:tblPrEx>
        <w:trPr>
          <w:cantSplit/>
        </w:trPr>
        <w:tc>
          <w:tcPr>
            <w:tcW w:w="1728" w:type="dxa"/>
            <w:tcBorders>
              <w:right w:val="nil"/>
            </w:tcBorders>
          </w:tcPr>
          <w:p w14:paraId="79657F52" w14:textId="77777777" w:rsidR="00000000" w:rsidRDefault="00000000">
            <w:pPr>
              <w:pStyle w:val="tabletext"/>
              <w:rPr>
                <w:b/>
                <w:bCs/>
              </w:rPr>
            </w:pPr>
            <w:r>
              <w:rPr>
                <w:b/>
                <w:bCs/>
              </w:rPr>
              <w:t>Min. Ceiling Ht.</w:t>
            </w:r>
          </w:p>
        </w:tc>
        <w:tc>
          <w:tcPr>
            <w:tcW w:w="7920" w:type="dxa"/>
            <w:tcBorders>
              <w:left w:val="nil"/>
            </w:tcBorders>
          </w:tcPr>
          <w:p w14:paraId="45D25311" w14:textId="77777777" w:rsidR="00000000" w:rsidRDefault="00000000">
            <w:pPr>
              <w:pStyle w:val="tabletext"/>
            </w:pPr>
            <w:r>
              <w:t>N/A</w:t>
            </w:r>
          </w:p>
        </w:tc>
      </w:tr>
      <w:tr w:rsidR="00000000" w14:paraId="47A2B698" w14:textId="77777777">
        <w:tblPrEx>
          <w:tblCellMar>
            <w:top w:w="0" w:type="dxa"/>
            <w:bottom w:w="0" w:type="dxa"/>
          </w:tblCellMar>
        </w:tblPrEx>
        <w:trPr>
          <w:cantSplit/>
        </w:trPr>
        <w:tc>
          <w:tcPr>
            <w:tcW w:w="1728" w:type="dxa"/>
            <w:tcBorders>
              <w:top w:val="nil"/>
              <w:bottom w:val="nil"/>
              <w:right w:val="nil"/>
            </w:tcBorders>
          </w:tcPr>
          <w:p w14:paraId="3EDD6801" w14:textId="77777777" w:rsidR="00000000" w:rsidRDefault="00000000">
            <w:pPr>
              <w:pStyle w:val="tabletext"/>
              <w:rPr>
                <w:b/>
                <w:bCs/>
              </w:rPr>
            </w:pPr>
            <w:r>
              <w:rPr>
                <w:b/>
                <w:bCs/>
              </w:rPr>
              <w:t>Finishes</w:t>
            </w:r>
          </w:p>
        </w:tc>
        <w:tc>
          <w:tcPr>
            <w:tcW w:w="7920" w:type="dxa"/>
            <w:tcBorders>
              <w:top w:val="nil"/>
              <w:left w:val="nil"/>
              <w:bottom w:val="nil"/>
            </w:tcBorders>
          </w:tcPr>
          <w:p w14:paraId="4EEBD04B" w14:textId="77777777" w:rsidR="00000000" w:rsidRDefault="00000000">
            <w:pPr>
              <w:pStyle w:val="tabletext"/>
            </w:pPr>
            <w:r>
              <w:rPr>
                <w:b/>
                <w:bCs/>
              </w:rPr>
              <w:t xml:space="preserve">Walls. </w:t>
            </w:r>
            <w:r>
              <w:t xml:space="preserve"> N/A</w:t>
            </w:r>
          </w:p>
        </w:tc>
      </w:tr>
      <w:tr w:rsidR="00000000" w14:paraId="6726B71D" w14:textId="77777777">
        <w:tblPrEx>
          <w:tblCellMar>
            <w:top w:w="0" w:type="dxa"/>
            <w:bottom w:w="0" w:type="dxa"/>
          </w:tblCellMar>
        </w:tblPrEx>
        <w:trPr>
          <w:cantSplit/>
        </w:trPr>
        <w:tc>
          <w:tcPr>
            <w:tcW w:w="1728" w:type="dxa"/>
            <w:tcBorders>
              <w:top w:val="nil"/>
              <w:bottom w:val="nil"/>
              <w:right w:val="nil"/>
            </w:tcBorders>
          </w:tcPr>
          <w:p w14:paraId="4843CDE5" w14:textId="77777777" w:rsidR="00000000" w:rsidRDefault="00000000">
            <w:pPr>
              <w:pStyle w:val="tabletext"/>
            </w:pPr>
          </w:p>
        </w:tc>
        <w:tc>
          <w:tcPr>
            <w:tcW w:w="7920" w:type="dxa"/>
            <w:tcBorders>
              <w:top w:val="nil"/>
              <w:left w:val="nil"/>
              <w:bottom w:val="nil"/>
            </w:tcBorders>
          </w:tcPr>
          <w:p w14:paraId="6C3E9A83" w14:textId="77777777" w:rsidR="00000000" w:rsidRDefault="00000000">
            <w:pPr>
              <w:pStyle w:val="tabletext"/>
            </w:pPr>
            <w:r>
              <w:rPr>
                <w:b/>
                <w:bCs/>
              </w:rPr>
              <w:t>Floor.</w:t>
            </w:r>
            <w:r>
              <w:t xml:space="preserve">  Hard-surface Areas—cast-in-place concrete over well-compacted sub-grade is generally the most durable, low-maintenance surface material.  Consider color additives or surface finishes to improve the appearance and reduce glare.  Avoid smooth steel trowel finishes, which can become slippery when wet.</w:t>
            </w:r>
          </w:p>
          <w:p w14:paraId="38BA8901" w14:textId="77777777" w:rsidR="00000000" w:rsidRDefault="00000000">
            <w:pPr>
              <w:pStyle w:val="tabletext"/>
              <w:spacing w:before="80"/>
            </w:pPr>
            <w:r>
              <w:t>Use Zones—Use zones are the areas under and around playground equipment and are defined by ASTM 1487. Use surface materials that meet the shock absorbency criteria recommended by CPSC and ASTM guidelines.  Generally, poured-in place resilient safety surfaces are the best option.</w:t>
            </w:r>
          </w:p>
        </w:tc>
      </w:tr>
      <w:tr w:rsidR="00000000" w14:paraId="31D0CF7F" w14:textId="77777777">
        <w:tblPrEx>
          <w:tblCellMar>
            <w:top w:w="0" w:type="dxa"/>
            <w:bottom w:w="0" w:type="dxa"/>
          </w:tblCellMar>
        </w:tblPrEx>
        <w:trPr>
          <w:cantSplit/>
        </w:trPr>
        <w:tc>
          <w:tcPr>
            <w:tcW w:w="1728" w:type="dxa"/>
            <w:tcBorders>
              <w:top w:val="nil"/>
              <w:bottom w:val="nil"/>
              <w:right w:val="nil"/>
            </w:tcBorders>
          </w:tcPr>
          <w:p w14:paraId="534BC5E0" w14:textId="77777777" w:rsidR="00000000" w:rsidRDefault="00000000">
            <w:pPr>
              <w:pStyle w:val="tabletext"/>
            </w:pPr>
          </w:p>
        </w:tc>
        <w:tc>
          <w:tcPr>
            <w:tcW w:w="7920" w:type="dxa"/>
            <w:tcBorders>
              <w:top w:val="nil"/>
              <w:left w:val="nil"/>
              <w:bottom w:val="nil"/>
            </w:tcBorders>
          </w:tcPr>
          <w:p w14:paraId="1CF30342" w14:textId="77777777" w:rsidR="00000000" w:rsidRDefault="00000000">
            <w:pPr>
              <w:pStyle w:val="tabletext"/>
            </w:pPr>
            <w:r>
              <w:rPr>
                <w:b/>
                <w:bCs/>
              </w:rPr>
              <w:t>Ceiling.</w:t>
            </w:r>
            <w:r>
              <w:t xml:space="preserve">  N/A</w:t>
            </w:r>
          </w:p>
        </w:tc>
      </w:tr>
      <w:tr w:rsidR="00000000" w14:paraId="7AABE822" w14:textId="77777777">
        <w:tblPrEx>
          <w:tblCellMar>
            <w:top w:w="0" w:type="dxa"/>
            <w:bottom w:w="0" w:type="dxa"/>
          </w:tblCellMar>
        </w:tblPrEx>
        <w:trPr>
          <w:cantSplit/>
        </w:trPr>
        <w:tc>
          <w:tcPr>
            <w:tcW w:w="1728" w:type="dxa"/>
            <w:tcBorders>
              <w:right w:val="nil"/>
            </w:tcBorders>
          </w:tcPr>
          <w:p w14:paraId="32B510C8" w14:textId="77777777" w:rsidR="00000000" w:rsidRDefault="00000000">
            <w:pPr>
              <w:pStyle w:val="tabletext"/>
              <w:rPr>
                <w:b/>
                <w:bCs/>
              </w:rPr>
            </w:pPr>
            <w:r>
              <w:rPr>
                <w:b/>
                <w:bCs/>
              </w:rPr>
              <w:t>Plumbing</w:t>
            </w:r>
          </w:p>
        </w:tc>
        <w:tc>
          <w:tcPr>
            <w:tcW w:w="7920" w:type="dxa"/>
            <w:tcBorders>
              <w:left w:val="nil"/>
            </w:tcBorders>
          </w:tcPr>
          <w:p w14:paraId="675193BB" w14:textId="77777777" w:rsidR="00000000" w:rsidRDefault="00000000">
            <w:pPr>
              <w:pStyle w:val="tabletext"/>
            </w:pPr>
            <w:r>
              <w:t xml:space="preserve">Provide a keyed, tamper-resistant hose bibb.  </w:t>
            </w:r>
          </w:p>
          <w:p w14:paraId="3F9D6D49" w14:textId="77777777" w:rsidR="00000000" w:rsidRDefault="00000000">
            <w:pPr>
              <w:pStyle w:val="tabletext"/>
            </w:pPr>
            <w:r>
              <w:t>Consider providing misters in hot, dry climates—connect to potable water system and provide code-compliant back-flow prevention.</w:t>
            </w:r>
          </w:p>
          <w:p w14:paraId="15766922" w14:textId="77777777" w:rsidR="00000000" w:rsidRDefault="00000000">
            <w:pPr>
              <w:pStyle w:val="tabletext"/>
            </w:pPr>
            <w:r>
              <w:t>Consider providing an irrigation system—consider safety factors such as tripping hazards and the use zones in the design.</w:t>
            </w:r>
          </w:p>
        </w:tc>
      </w:tr>
      <w:tr w:rsidR="00000000" w14:paraId="7FDBF7F5" w14:textId="77777777">
        <w:tblPrEx>
          <w:tblCellMar>
            <w:top w:w="0" w:type="dxa"/>
            <w:bottom w:w="0" w:type="dxa"/>
          </w:tblCellMar>
        </w:tblPrEx>
        <w:trPr>
          <w:cantSplit/>
        </w:trPr>
        <w:tc>
          <w:tcPr>
            <w:tcW w:w="1728" w:type="dxa"/>
            <w:tcBorders>
              <w:right w:val="nil"/>
            </w:tcBorders>
          </w:tcPr>
          <w:p w14:paraId="2FF555B1" w14:textId="77777777" w:rsidR="00000000" w:rsidRDefault="00000000">
            <w:pPr>
              <w:pStyle w:val="tabletext"/>
              <w:rPr>
                <w:b/>
                <w:bCs/>
              </w:rPr>
            </w:pPr>
            <w:r>
              <w:rPr>
                <w:b/>
                <w:bCs/>
              </w:rPr>
              <w:t>HVAC</w:t>
            </w:r>
          </w:p>
        </w:tc>
        <w:tc>
          <w:tcPr>
            <w:tcW w:w="7920" w:type="dxa"/>
            <w:tcBorders>
              <w:left w:val="nil"/>
            </w:tcBorders>
          </w:tcPr>
          <w:p w14:paraId="71E52C28" w14:textId="77777777" w:rsidR="00000000" w:rsidRDefault="00000000">
            <w:pPr>
              <w:pStyle w:val="tabletext"/>
            </w:pPr>
            <w:r>
              <w:t>N/A</w:t>
            </w:r>
          </w:p>
        </w:tc>
      </w:tr>
      <w:tr w:rsidR="00000000" w14:paraId="0CD81D6D" w14:textId="77777777">
        <w:tblPrEx>
          <w:tblCellMar>
            <w:top w:w="0" w:type="dxa"/>
            <w:bottom w:w="0" w:type="dxa"/>
          </w:tblCellMar>
        </w:tblPrEx>
        <w:trPr>
          <w:cantSplit/>
        </w:trPr>
        <w:tc>
          <w:tcPr>
            <w:tcW w:w="1728" w:type="dxa"/>
            <w:tcBorders>
              <w:right w:val="nil"/>
            </w:tcBorders>
          </w:tcPr>
          <w:p w14:paraId="34C474E8" w14:textId="77777777" w:rsidR="00000000" w:rsidRDefault="00000000">
            <w:pPr>
              <w:pStyle w:val="tabletext"/>
              <w:rPr>
                <w:b/>
                <w:bCs/>
              </w:rPr>
            </w:pPr>
            <w:r>
              <w:rPr>
                <w:b/>
                <w:bCs/>
              </w:rPr>
              <w:t>Fire Protection</w:t>
            </w:r>
          </w:p>
        </w:tc>
        <w:tc>
          <w:tcPr>
            <w:tcW w:w="7920" w:type="dxa"/>
            <w:tcBorders>
              <w:left w:val="nil"/>
            </w:tcBorders>
          </w:tcPr>
          <w:p w14:paraId="6FC5A858" w14:textId="77777777" w:rsidR="00000000" w:rsidRDefault="00000000">
            <w:pPr>
              <w:pStyle w:val="tabletext"/>
            </w:pPr>
            <w:r>
              <w:t>N/A</w:t>
            </w:r>
          </w:p>
        </w:tc>
      </w:tr>
      <w:tr w:rsidR="00000000" w14:paraId="21ADAFDB" w14:textId="77777777">
        <w:tblPrEx>
          <w:tblCellMar>
            <w:top w:w="0" w:type="dxa"/>
            <w:bottom w:w="0" w:type="dxa"/>
          </w:tblCellMar>
        </w:tblPrEx>
        <w:trPr>
          <w:cantSplit/>
        </w:trPr>
        <w:tc>
          <w:tcPr>
            <w:tcW w:w="1728" w:type="dxa"/>
            <w:tcBorders>
              <w:right w:val="nil"/>
            </w:tcBorders>
          </w:tcPr>
          <w:p w14:paraId="59ED8FF9" w14:textId="77777777" w:rsidR="00000000" w:rsidRDefault="00000000">
            <w:pPr>
              <w:pStyle w:val="tabletext"/>
              <w:rPr>
                <w:b/>
                <w:bCs/>
              </w:rPr>
            </w:pPr>
            <w:r>
              <w:rPr>
                <w:b/>
                <w:bCs/>
              </w:rPr>
              <w:t>Power</w:t>
            </w:r>
          </w:p>
        </w:tc>
        <w:tc>
          <w:tcPr>
            <w:tcW w:w="7920" w:type="dxa"/>
            <w:tcBorders>
              <w:left w:val="nil"/>
            </w:tcBorders>
          </w:tcPr>
          <w:p w14:paraId="09B93833" w14:textId="77777777" w:rsidR="00000000" w:rsidRDefault="00000000">
            <w:pPr>
              <w:pStyle w:val="tabletext"/>
            </w:pPr>
            <w:r>
              <w:t>N/A</w:t>
            </w:r>
          </w:p>
        </w:tc>
      </w:tr>
      <w:tr w:rsidR="00000000" w14:paraId="464CD337" w14:textId="77777777">
        <w:tblPrEx>
          <w:tblCellMar>
            <w:top w:w="0" w:type="dxa"/>
            <w:bottom w:w="0" w:type="dxa"/>
          </w:tblCellMar>
        </w:tblPrEx>
        <w:trPr>
          <w:cantSplit/>
        </w:trPr>
        <w:tc>
          <w:tcPr>
            <w:tcW w:w="1728" w:type="dxa"/>
            <w:tcBorders>
              <w:right w:val="nil"/>
            </w:tcBorders>
          </w:tcPr>
          <w:p w14:paraId="1F40284C" w14:textId="77777777" w:rsidR="00000000" w:rsidRDefault="00000000">
            <w:pPr>
              <w:pStyle w:val="tabletext"/>
              <w:rPr>
                <w:b/>
                <w:bCs/>
              </w:rPr>
            </w:pPr>
            <w:r>
              <w:rPr>
                <w:b/>
                <w:bCs/>
              </w:rPr>
              <w:t>Lighting</w:t>
            </w:r>
          </w:p>
        </w:tc>
        <w:tc>
          <w:tcPr>
            <w:tcW w:w="7920" w:type="dxa"/>
            <w:tcBorders>
              <w:left w:val="nil"/>
            </w:tcBorders>
          </w:tcPr>
          <w:p w14:paraId="7B56A6E0" w14:textId="77777777" w:rsidR="00000000" w:rsidRDefault="00000000">
            <w:pPr>
              <w:pStyle w:val="tabletext"/>
              <w:ind w:right="-108"/>
              <w:rPr>
                <w:spacing w:val="-4"/>
                <w:szCs w:val="20"/>
              </w:rPr>
            </w:pPr>
            <w:r>
              <w:rPr>
                <w:spacing w:val="-4"/>
                <w:szCs w:val="20"/>
              </w:rPr>
              <w:t>Provide security lighting on a timer for after-hours activation and on a switch for staff control.</w:t>
            </w:r>
          </w:p>
        </w:tc>
      </w:tr>
      <w:tr w:rsidR="00000000" w14:paraId="09BB7DB6" w14:textId="77777777">
        <w:tblPrEx>
          <w:tblCellMar>
            <w:top w:w="0" w:type="dxa"/>
            <w:bottom w:w="0" w:type="dxa"/>
          </w:tblCellMar>
        </w:tblPrEx>
        <w:trPr>
          <w:cantSplit/>
        </w:trPr>
        <w:tc>
          <w:tcPr>
            <w:tcW w:w="1728" w:type="dxa"/>
            <w:tcBorders>
              <w:bottom w:val="single" w:sz="4" w:space="0" w:color="auto"/>
              <w:right w:val="nil"/>
            </w:tcBorders>
          </w:tcPr>
          <w:p w14:paraId="0C4FB7EE"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694FDBDB" w14:textId="012C60B0" w:rsidR="00000000" w:rsidRDefault="00000000">
            <w:pPr>
              <w:pStyle w:val="tabletext"/>
            </w:pPr>
            <w:r>
              <w:rPr>
                <w:b/>
                <w:bCs/>
              </w:rPr>
              <w:t xml:space="preserve">CCTV.  </w:t>
            </w:r>
            <w:r>
              <w:t xml:space="preserve">None required.  </w:t>
            </w:r>
            <w:r w:rsidR="00DD06CA">
              <w:rPr>
                <w:noProof/>
                <w:position w:val="-8"/>
                <w:szCs w:val="20"/>
              </w:rPr>
              <w:drawing>
                <wp:inline distT="0" distB="0" distL="0" distR="0" wp14:anchorId="19B11F73" wp14:editId="1E85EFE5">
                  <wp:extent cx="276225" cy="200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The Army provides outdoor camera coverage.</w:t>
            </w:r>
          </w:p>
          <w:p w14:paraId="37B25BD1" w14:textId="77777777" w:rsidR="00000000" w:rsidRDefault="00000000">
            <w:pPr>
              <w:pStyle w:val="tabletext"/>
            </w:pPr>
            <w:r>
              <w:rPr>
                <w:b/>
                <w:bCs/>
              </w:rPr>
              <w:t>CATV/Internal Video.</w:t>
            </w:r>
            <w:r>
              <w:t xml:space="preserve">  None required.</w:t>
            </w:r>
          </w:p>
          <w:p w14:paraId="5079330C" w14:textId="77777777" w:rsidR="00000000" w:rsidRDefault="00000000">
            <w:pPr>
              <w:pStyle w:val="tabletext"/>
              <w:rPr>
                <w:bCs/>
              </w:rPr>
            </w:pPr>
            <w:r>
              <w:rPr>
                <w:b/>
                <w:bCs/>
              </w:rPr>
              <w:t xml:space="preserve">PA/Audio.  </w:t>
            </w:r>
            <w:r>
              <w:rPr>
                <w:bCs/>
              </w:rPr>
              <w:t>Provide speakers for adequate coverage.  Speakers to be outdoor type.  Consider outdoor noise levels when spacing speakers.</w:t>
            </w:r>
          </w:p>
          <w:p w14:paraId="54A83032" w14:textId="77777777" w:rsidR="00000000" w:rsidRDefault="00000000">
            <w:pPr>
              <w:pStyle w:val="tabletext"/>
            </w:pPr>
            <w:r>
              <w:rPr>
                <w:b/>
                <w:bCs/>
              </w:rPr>
              <w:t>Telephone.</w:t>
            </w:r>
            <w:r>
              <w:t xml:space="preserve">  None required.</w:t>
            </w:r>
          </w:p>
          <w:p w14:paraId="534DCA06" w14:textId="77777777" w:rsidR="00000000" w:rsidRDefault="00000000">
            <w:pPr>
              <w:pStyle w:val="tabletext"/>
            </w:pPr>
            <w:r>
              <w:rPr>
                <w:b/>
                <w:bCs/>
              </w:rPr>
              <w:t>Data.</w:t>
            </w:r>
            <w:r>
              <w:t xml:space="preserve">  None required.</w:t>
            </w:r>
          </w:p>
          <w:p w14:paraId="6A4C3C8B" w14:textId="77777777" w:rsidR="00000000" w:rsidRDefault="00000000">
            <w:pPr>
              <w:pStyle w:val="tabletext"/>
            </w:pPr>
            <w:r>
              <w:rPr>
                <w:b/>
                <w:bCs/>
              </w:rPr>
              <w:t>Security.</w:t>
            </w:r>
            <w:r>
              <w:t xml:space="preserve">  Do not create blind spots or hidden areas.</w:t>
            </w:r>
          </w:p>
        </w:tc>
      </w:tr>
      <w:tr w:rsidR="00000000" w14:paraId="6FB5E88D" w14:textId="77777777">
        <w:tblPrEx>
          <w:tblCellMar>
            <w:top w:w="0" w:type="dxa"/>
            <w:bottom w:w="0" w:type="dxa"/>
          </w:tblCellMar>
        </w:tblPrEx>
        <w:trPr>
          <w:cantSplit/>
        </w:trPr>
        <w:tc>
          <w:tcPr>
            <w:tcW w:w="1728" w:type="dxa"/>
            <w:tcBorders>
              <w:bottom w:val="single" w:sz="4" w:space="0" w:color="auto"/>
              <w:right w:val="nil"/>
            </w:tcBorders>
          </w:tcPr>
          <w:p w14:paraId="78D26117" w14:textId="77777777" w:rsidR="00000000" w:rsidRDefault="00000000">
            <w:pPr>
              <w:pStyle w:val="tabletext"/>
              <w:rPr>
                <w:b/>
                <w:bCs/>
              </w:rPr>
            </w:pPr>
            <w:r>
              <w:rPr>
                <w:b/>
                <w:bCs/>
              </w:rPr>
              <w:t>Casework</w:t>
            </w:r>
          </w:p>
        </w:tc>
        <w:tc>
          <w:tcPr>
            <w:tcW w:w="7920" w:type="dxa"/>
            <w:tcBorders>
              <w:left w:val="nil"/>
              <w:bottom w:val="single" w:sz="4" w:space="0" w:color="auto"/>
            </w:tcBorders>
          </w:tcPr>
          <w:p w14:paraId="39E3B57A" w14:textId="77777777" w:rsidR="00000000" w:rsidRDefault="00000000">
            <w:pPr>
              <w:pStyle w:val="tabletext"/>
            </w:pPr>
            <w:r>
              <w:t xml:space="preserve">Provide an enclosed, weather-tight, vandal-proof storage shed for outdoor equipment.  It should be readily accessible to the major play zones and be architecturally or thematically compatible with the Youth Center, including the roof design.  Ventilate the storage shed and provide concrete floors sloped to the door for drainage.  Provide visibility into the shed and eliminate blind spots created by the shed for child-abuse concerns.  Locks must be selected to operate at the exterior of the door but not allow children to be trapped inside the structure.  </w:t>
            </w:r>
          </w:p>
        </w:tc>
      </w:tr>
      <w:tr w:rsidR="00000000" w14:paraId="327A01BE" w14:textId="77777777">
        <w:tblPrEx>
          <w:tblCellMar>
            <w:top w:w="0" w:type="dxa"/>
            <w:bottom w:w="0" w:type="dxa"/>
          </w:tblCellMar>
        </w:tblPrEx>
        <w:trPr>
          <w:cantSplit/>
        </w:trPr>
        <w:tc>
          <w:tcPr>
            <w:tcW w:w="1728" w:type="dxa"/>
            <w:tcBorders>
              <w:bottom w:val="nil"/>
              <w:right w:val="nil"/>
            </w:tcBorders>
          </w:tcPr>
          <w:p w14:paraId="30A76442" w14:textId="77777777" w:rsidR="00000000" w:rsidRDefault="00000000">
            <w:pPr>
              <w:pStyle w:val="tabletext"/>
              <w:rPr>
                <w:b/>
                <w:bCs/>
              </w:rPr>
            </w:pPr>
            <w:r>
              <w:rPr>
                <w:b/>
                <w:bCs/>
              </w:rPr>
              <w:t>Furnishings Fixtures &amp; Equip. (FF&amp;E)</w:t>
            </w:r>
          </w:p>
        </w:tc>
        <w:tc>
          <w:tcPr>
            <w:tcW w:w="7920" w:type="dxa"/>
            <w:tcBorders>
              <w:left w:val="nil"/>
              <w:bottom w:val="nil"/>
            </w:tcBorders>
          </w:tcPr>
          <w:p w14:paraId="20BDF558" w14:textId="77777777" w:rsidR="00000000" w:rsidRDefault="00000000">
            <w:pPr>
              <w:pStyle w:val="tabletext"/>
            </w:pPr>
            <w:r>
              <w:t>CPSC-compliant, age-appropriate play equipment.  Consider other items such as sports equipment, balls, outdoor tables and chairs, etc.</w:t>
            </w:r>
          </w:p>
        </w:tc>
      </w:tr>
      <w:tr w:rsidR="00000000" w14:paraId="388C411C"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0DA1A886"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0DCACFA2" w14:textId="77777777" w:rsidR="00000000" w:rsidRDefault="00000000">
            <w:pPr>
              <w:pStyle w:val="tabletext"/>
            </w:pPr>
            <w:r>
              <w:t xml:space="preserve">Per paragraph 3-7, comply with ADAAG Amendment 15.6 for play areas.  It includes technical provisions for ground level and elevated play components, accessible routes, ramps and transfer systems, ground surfaces and soft contained play structures.  </w:t>
            </w:r>
          </w:p>
        </w:tc>
      </w:tr>
      <w:tr w:rsidR="00000000" w14:paraId="67A45AF6"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77AA9F0B" w14:textId="77777777" w:rsidR="00000000" w:rsidRDefault="00000000">
            <w:pPr>
              <w:pStyle w:val="tablehead2"/>
            </w:pPr>
            <w:r>
              <w:t>For use during project execution by the appropriate Service agency</w:t>
            </w:r>
          </w:p>
        </w:tc>
      </w:tr>
      <w:tr w:rsidR="00000000" w14:paraId="633F04F6"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274273D9"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3B631590" w14:textId="77777777" w:rsidR="00000000" w:rsidRDefault="00000000">
            <w:pPr>
              <w:pStyle w:val="tabletext"/>
            </w:pPr>
            <w:r>
              <w:t xml:space="preserve">Staff.  </w:t>
            </w:r>
          </w:p>
        </w:tc>
      </w:tr>
      <w:tr w:rsidR="00000000" w14:paraId="1AD963CA"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03AE2E6F"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4C37FC5D" w14:textId="77777777" w:rsidR="00000000" w:rsidRDefault="00000000">
            <w:pPr>
              <w:pStyle w:val="tabletext"/>
            </w:pPr>
            <w:r>
              <w:t xml:space="preserve">Patrons/Youth.  </w:t>
            </w:r>
          </w:p>
        </w:tc>
      </w:tr>
      <w:tr w:rsidR="00000000" w14:paraId="29881E0D"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20D5F45B" w14:textId="77777777" w:rsidR="00000000" w:rsidRDefault="00000000">
            <w:pPr>
              <w:pStyle w:val="tabletext"/>
              <w:rPr>
                <w:b/>
                <w:bCs/>
              </w:rPr>
            </w:pPr>
            <w:r>
              <w:rPr>
                <w:b/>
                <w:bCs/>
              </w:rPr>
              <w:lastRenderedPageBreak/>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4B0C14D5" w14:textId="77777777" w:rsidR="00000000" w:rsidRDefault="00000000">
            <w:pPr>
              <w:pStyle w:val="tabletext"/>
            </w:pPr>
          </w:p>
        </w:tc>
      </w:tr>
    </w:tbl>
    <w:p w14:paraId="65F59710" w14:textId="77777777" w:rsidR="0061017C" w:rsidRDefault="0061017C"/>
    <w:sectPr w:rsidR="006101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962806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23B"/>
    <w:rsid w:val="002B023B"/>
    <w:rsid w:val="0061017C"/>
    <w:rsid w:val="00DD0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E45D7"/>
  <w15:chartTrackingRefBased/>
  <w15:docId w15:val="{80557B07-B1F7-4D93-9A05-BD840C8B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TABLE 4-4-2 Outdoor Activity Area</vt:lpstr>
    </vt:vector>
  </TitlesOfParts>
  <Company>United States Department of Defense</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4-4-2 Outdoor Activity Area</dc:title>
  <dc:subject/>
  <cp:keywords/>
  <dc:description/>
  <cp:revision>2</cp:revision>
  <dcterms:created xsi:type="dcterms:W3CDTF">2024-06-06T18:19:00Z</dcterms:created>
  <dcterms:modified xsi:type="dcterms:W3CDTF">2024-06-06T18:19:00Z</dcterms:modified>
  <cp:category>UFC</cp:category>
</cp:coreProperties>
</file>