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703899" w14:textId="77777777" w:rsidR="00000000" w:rsidRDefault="00000000">
      <w:pPr>
        <w:pStyle w:val="UFCtable"/>
      </w:pPr>
      <w:bookmarkStart w:id="0" w:name="_Toc107214784"/>
      <w:r>
        <w:t>TABLE 4-5.1.  COMMONS</w:t>
      </w:r>
      <w:bookmarkEnd w:id="0"/>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7920"/>
      </w:tblGrid>
      <w:tr w:rsidR="00000000" w14:paraId="3F0AD990" w14:textId="77777777">
        <w:tblPrEx>
          <w:tblCellMar>
            <w:top w:w="0" w:type="dxa"/>
            <w:bottom w:w="0" w:type="dxa"/>
          </w:tblCellMar>
        </w:tblPrEx>
        <w:trPr>
          <w:cantSplit/>
        </w:trPr>
        <w:tc>
          <w:tcPr>
            <w:tcW w:w="1728" w:type="dxa"/>
            <w:tcBorders>
              <w:right w:val="nil"/>
            </w:tcBorders>
          </w:tcPr>
          <w:p w14:paraId="2F37F790" w14:textId="77777777" w:rsidR="00000000" w:rsidRDefault="00000000">
            <w:pPr>
              <w:pStyle w:val="tabletext"/>
              <w:rPr>
                <w:b/>
                <w:bCs/>
              </w:rPr>
            </w:pPr>
            <w:r>
              <w:rPr>
                <w:b/>
                <w:bCs/>
              </w:rPr>
              <w:t>Description/</w:t>
            </w:r>
            <w:r>
              <w:rPr>
                <w:b/>
                <w:bCs/>
              </w:rPr>
              <w:br/>
              <w:t>Usage</w:t>
            </w:r>
          </w:p>
        </w:tc>
        <w:tc>
          <w:tcPr>
            <w:tcW w:w="7920" w:type="dxa"/>
            <w:tcBorders>
              <w:left w:val="nil"/>
            </w:tcBorders>
          </w:tcPr>
          <w:p w14:paraId="112108B6" w14:textId="77777777" w:rsidR="00000000" w:rsidRDefault="00000000">
            <w:pPr>
              <w:pStyle w:val="tabletext"/>
            </w:pPr>
            <w:r>
              <w:t>This is the “heart” of the facility.  It is the space that connects the basic components of a youth center such as the activity rooms, computer room, teen room, multipurpose room, and the SAC area.  The area should be open and inviting and offer defined areas where smaller groups of youth can gather for such activities as eating, gaming, and group conversations.  The Commons should naturally “grow” out of the Lobby.  The entrances to the other youth center components should be well defined and act as “portals” to these other areas.</w:t>
            </w:r>
          </w:p>
          <w:p w14:paraId="3B57E6D7" w14:textId="6F9285E1" w:rsidR="00000000" w:rsidRDefault="00000000">
            <w:pPr>
              <w:pStyle w:val="tabletext"/>
              <w:spacing w:before="120"/>
            </w:pPr>
            <w:r>
              <w:t xml:space="preserve">The game area, snack bar/eating area, and vending area could be sub areas within the Commons.  </w:t>
            </w:r>
            <w:r w:rsidR="00AE6D8F">
              <w:rPr>
                <w:noProof/>
                <w:position w:val="-8"/>
                <w:szCs w:val="20"/>
              </w:rPr>
              <w:drawing>
                <wp:inline distT="0" distB="0" distL="0" distR="0" wp14:anchorId="5C06ECB7" wp14:editId="69305282">
                  <wp:extent cx="276225" cy="20002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r>
              <w:t xml:space="preserve">  The Navy normally does not provide a vending area.</w:t>
            </w:r>
          </w:p>
          <w:p w14:paraId="363F8CD7" w14:textId="77777777" w:rsidR="00000000" w:rsidRDefault="00000000">
            <w:pPr>
              <w:pStyle w:val="tabletext"/>
              <w:spacing w:before="120"/>
            </w:pPr>
            <w:r>
              <w:t>The Commons should also provide access to the outdoor activity areas but not the Teen Patio.</w:t>
            </w:r>
          </w:p>
        </w:tc>
      </w:tr>
      <w:tr w:rsidR="00000000" w14:paraId="10A9BA2D" w14:textId="77777777">
        <w:tblPrEx>
          <w:tblCellMar>
            <w:top w:w="0" w:type="dxa"/>
            <w:bottom w:w="0" w:type="dxa"/>
          </w:tblCellMar>
        </w:tblPrEx>
        <w:trPr>
          <w:cantSplit/>
        </w:trPr>
        <w:tc>
          <w:tcPr>
            <w:tcW w:w="1728" w:type="dxa"/>
            <w:tcBorders>
              <w:right w:val="nil"/>
            </w:tcBorders>
          </w:tcPr>
          <w:p w14:paraId="1E4951C4" w14:textId="77777777" w:rsidR="00000000" w:rsidRDefault="00000000">
            <w:pPr>
              <w:pStyle w:val="tabletext"/>
              <w:rPr>
                <w:b/>
                <w:bCs/>
              </w:rPr>
            </w:pPr>
            <w:r>
              <w:rPr>
                <w:b/>
                <w:bCs/>
              </w:rPr>
              <w:t>Min. Ceiling Ht.</w:t>
            </w:r>
          </w:p>
        </w:tc>
        <w:tc>
          <w:tcPr>
            <w:tcW w:w="7920" w:type="dxa"/>
            <w:tcBorders>
              <w:left w:val="nil"/>
            </w:tcBorders>
          </w:tcPr>
          <w:p w14:paraId="7DD2879E" w14:textId="77777777" w:rsidR="00000000" w:rsidRDefault="00000000">
            <w:pPr>
              <w:pStyle w:val="tabletext"/>
              <w:rPr>
                <w:spacing w:val="-2"/>
                <w:szCs w:val="20"/>
              </w:rPr>
            </w:pPr>
            <w:r>
              <w:rPr>
                <w:spacing w:val="-2"/>
                <w:szCs w:val="20"/>
              </w:rPr>
              <w:t>2.4 m (8 ft.) minimum with 3.66 m (12 ft.) recommended; up to 5.49 m (18 ft.) may be considered.  Consider varying the ceiling heights to provide interest and variety of scale.</w:t>
            </w:r>
          </w:p>
        </w:tc>
      </w:tr>
      <w:tr w:rsidR="00000000" w14:paraId="65E6BADD" w14:textId="77777777">
        <w:tblPrEx>
          <w:tblCellMar>
            <w:top w:w="0" w:type="dxa"/>
            <w:bottom w:w="0" w:type="dxa"/>
          </w:tblCellMar>
        </w:tblPrEx>
        <w:trPr>
          <w:cantSplit/>
        </w:trPr>
        <w:tc>
          <w:tcPr>
            <w:tcW w:w="1728" w:type="dxa"/>
            <w:tcBorders>
              <w:top w:val="nil"/>
              <w:bottom w:val="nil"/>
              <w:right w:val="nil"/>
            </w:tcBorders>
          </w:tcPr>
          <w:p w14:paraId="5A581AE6" w14:textId="77777777" w:rsidR="00000000" w:rsidRDefault="00000000">
            <w:pPr>
              <w:pStyle w:val="tabletext"/>
              <w:rPr>
                <w:b/>
                <w:bCs/>
              </w:rPr>
            </w:pPr>
            <w:r>
              <w:rPr>
                <w:b/>
                <w:bCs/>
              </w:rPr>
              <w:t>Finishes</w:t>
            </w:r>
          </w:p>
        </w:tc>
        <w:tc>
          <w:tcPr>
            <w:tcW w:w="7920" w:type="dxa"/>
            <w:tcBorders>
              <w:top w:val="nil"/>
              <w:left w:val="nil"/>
              <w:bottom w:val="nil"/>
            </w:tcBorders>
          </w:tcPr>
          <w:p w14:paraId="010CDF7F" w14:textId="77777777" w:rsidR="00000000" w:rsidRDefault="00000000">
            <w:pPr>
              <w:pStyle w:val="tabletext"/>
            </w:pPr>
            <w:r>
              <w:rPr>
                <w:b/>
                <w:bCs/>
              </w:rPr>
              <w:t xml:space="preserve">Walls. </w:t>
            </w:r>
            <w:r>
              <w:t xml:space="preserve"> Painted gypsum wallboard or vinyl wall covering. </w:t>
            </w:r>
          </w:p>
        </w:tc>
      </w:tr>
      <w:tr w:rsidR="00000000" w14:paraId="6CD0BEBD" w14:textId="77777777">
        <w:tblPrEx>
          <w:tblCellMar>
            <w:top w:w="0" w:type="dxa"/>
            <w:bottom w:w="0" w:type="dxa"/>
          </w:tblCellMar>
        </w:tblPrEx>
        <w:trPr>
          <w:cantSplit/>
        </w:trPr>
        <w:tc>
          <w:tcPr>
            <w:tcW w:w="1728" w:type="dxa"/>
            <w:tcBorders>
              <w:top w:val="nil"/>
              <w:bottom w:val="nil"/>
              <w:right w:val="nil"/>
            </w:tcBorders>
          </w:tcPr>
          <w:p w14:paraId="5F9BA52C" w14:textId="77777777" w:rsidR="00000000" w:rsidRDefault="00000000">
            <w:pPr>
              <w:pStyle w:val="tabletext"/>
            </w:pPr>
          </w:p>
        </w:tc>
        <w:tc>
          <w:tcPr>
            <w:tcW w:w="7920" w:type="dxa"/>
            <w:tcBorders>
              <w:top w:val="nil"/>
              <w:left w:val="nil"/>
              <w:bottom w:val="nil"/>
            </w:tcBorders>
          </w:tcPr>
          <w:p w14:paraId="711C7C12" w14:textId="77777777" w:rsidR="00000000" w:rsidRDefault="00000000">
            <w:pPr>
              <w:pStyle w:val="tabletext"/>
            </w:pPr>
            <w:r>
              <w:rPr>
                <w:b/>
                <w:bCs/>
              </w:rPr>
              <w:t>Floor.</w:t>
            </w:r>
            <w:r>
              <w:t xml:space="preserve">  VCT with vinyl or rubber base.  If budget allows, consider stained concrete, terrazzo tile, or some other natural stone tile.</w:t>
            </w:r>
          </w:p>
        </w:tc>
      </w:tr>
      <w:tr w:rsidR="00000000" w14:paraId="1828AF13" w14:textId="77777777">
        <w:tblPrEx>
          <w:tblCellMar>
            <w:top w:w="0" w:type="dxa"/>
            <w:bottom w:w="0" w:type="dxa"/>
          </w:tblCellMar>
        </w:tblPrEx>
        <w:trPr>
          <w:cantSplit/>
        </w:trPr>
        <w:tc>
          <w:tcPr>
            <w:tcW w:w="1728" w:type="dxa"/>
            <w:tcBorders>
              <w:top w:val="nil"/>
              <w:bottom w:val="nil"/>
              <w:right w:val="nil"/>
            </w:tcBorders>
          </w:tcPr>
          <w:p w14:paraId="1F3250C6" w14:textId="77777777" w:rsidR="00000000" w:rsidRDefault="00000000">
            <w:pPr>
              <w:pStyle w:val="tabletext"/>
            </w:pPr>
          </w:p>
        </w:tc>
        <w:tc>
          <w:tcPr>
            <w:tcW w:w="7920" w:type="dxa"/>
            <w:tcBorders>
              <w:top w:val="nil"/>
              <w:left w:val="nil"/>
              <w:bottom w:val="nil"/>
            </w:tcBorders>
          </w:tcPr>
          <w:p w14:paraId="685175FF" w14:textId="77777777" w:rsidR="00000000" w:rsidRDefault="00000000">
            <w:pPr>
              <w:pStyle w:val="tabletext"/>
            </w:pPr>
            <w:r>
              <w:rPr>
                <w:b/>
                <w:bCs/>
              </w:rPr>
              <w:t>Ceiling.</w:t>
            </w:r>
            <w:r>
              <w:t xml:space="preserve">  Along with the height, vary the ceiling finishes to help define the sub areas of the Commons.  Consider painted gypsum board or decorative finishes.</w:t>
            </w:r>
          </w:p>
        </w:tc>
      </w:tr>
      <w:tr w:rsidR="00000000" w14:paraId="36ED2314" w14:textId="77777777">
        <w:tblPrEx>
          <w:tblCellMar>
            <w:top w:w="0" w:type="dxa"/>
            <w:bottom w:w="0" w:type="dxa"/>
          </w:tblCellMar>
        </w:tblPrEx>
        <w:trPr>
          <w:cantSplit/>
        </w:trPr>
        <w:tc>
          <w:tcPr>
            <w:tcW w:w="1728" w:type="dxa"/>
            <w:tcBorders>
              <w:right w:val="nil"/>
            </w:tcBorders>
          </w:tcPr>
          <w:p w14:paraId="6BD133E8" w14:textId="77777777" w:rsidR="00000000" w:rsidRDefault="00000000">
            <w:pPr>
              <w:pStyle w:val="tabletext"/>
              <w:rPr>
                <w:b/>
                <w:bCs/>
              </w:rPr>
            </w:pPr>
            <w:r>
              <w:rPr>
                <w:b/>
                <w:bCs/>
              </w:rPr>
              <w:t>Plumbing</w:t>
            </w:r>
          </w:p>
        </w:tc>
        <w:tc>
          <w:tcPr>
            <w:tcW w:w="7920" w:type="dxa"/>
            <w:tcBorders>
              <w:left w:val="nil"/>
            </w:tcBorders>
          </w:tcPr>
          <w:p w14:paraId="53C13A79" w14:textId="77777777" w:rsidR="00000000" w:rsidRDefault="00000000">
            <w:pPr>
              <w:pStyle w:val="tabletext"/>
            </w:pPr>
            <w:r>
              <w:t>None required.  Consider providing a drinking fountain.</w:t>
            </w:r>
          </w:p>
        </w:tc>
      </w:tr>
      <w:tr w:rsidR="00000000" w14:paraId="3362DA2C" w14:textId="77777777">
        <w:tblPrEx>
          <w:tblCellMar>
            <w:top w:w="0" w:type="dxa"/>
            <w:bottom w:w="0" w:type="dxa"/>
          </w:tblCellMar>
        </w:tblPrEx>
        <w:trPr>
          <w:cantSplit/>
        </w:trPr>
        <w:tc>
          <w:tcPr>
            <w:tcW w:w="1728" w:type="dxa"/>
            <w:tcBorders>
              <w:right w:val="nil"/>
            </w:tcBorders>
          </w:tcPr>
          <w:p w14:paraId="4267780E" w14:textId="77777777" w:rsidR="00000000" w:rsidRDefault="00000000">
            <w:pPr>
              <w:pStyle w:val="tabletext"/>
              <w:rPr>
                <w:b/>
                <w:bCs/>
              </w:rPr>
            </w:pPr>
            <w:r>
              <w:rPr>
                <w:b/>
                <w:bCs/>
              </w:rPr>
              <w:t>HVAC</w:t>
            </w:r>
          </w:p>
        </w:tc>
        <w:tc>
          <w:tcPr>
            <w:tcW w:w="7920" w:type="dxa"/>
            <w:tcBorders>
              <w:left w:val="nil"/>
            </w:tcBorders>
          </w:tcPr>
          <w:p w14:paraId="167576FF" w14:textId="77777777" w:rsidR="00000000" w:rsidRDefault="00000000">
            <w:pPr>
              <w:pStyle w:val="tabletext"/>
            </w:pPr>
            <w:r>
              <w:t>20 C (68 F) minimum, 26 C (78 F) maximum.</w:t>
            </w:r>
          </w:p>
        </w:tc>
      </w:tr>
      <w:tr w:rsidR="00000000" w14:paraId="6A304D2E" w14:textId="77777777">
        <w:tblPrEx>
          <w:tblCellMar>
            <w:top w:w="0" w:type="dxa"/>
            <w:bottom w:w="0" w:type="dxa"/>
          </w:tblCellMar>
        </w:tblPrEx>
        <w:trPr>
          <w:cantSplit/>
        </w:trPr>
        <w:tc>
          <w:tcPr>
            <w:tcW w:w="1728" w:type="dxa"/>
            <w:tcBorders>
              <w:right w:val="nil"/>
            </w:tcBorders>
          </w:tcPr>
          <w:p w14:paraId="72589309" w14:textId="77777777" w:rsidR="00000000" w:rsidRDefault="00000000">
            <w:pPr>
              <w:pStyle w:val="tabletext"/>
              <w:rPr>
                <w:b/>
                <w:bCs/>
              </w:rPr>
            </w:pPr>
            <w:r>
              <w:rPr>
                <w:b/>
                <w:bCs/>
              </w:rPr>
              <w:t>Fire Protection</w:t>
            </w:r>
          </w:p>
        </w:tc>
        <w:tc>
          <w:tcPr>
            <w:tcW w:w="7920" w:type="dxa"/>
            <w:tcBorders>
              <w:left w:val="nil"/>
            </w:tcBorders>
          </w:tcPr>
          <w:p w14:paraId="4B0DC44B" w14:textId="77777777" w:rsidR="00000000" w:rsidRDefault="00000000">
            <w:pPr>
              <w:pStyle w:val="tabletext"/>
            </w:pPr>
            <w:r>
              <w:t>Provide system per paragraph 3-5.3.</w:t>
            </w:r>
          </w:p>
        </w:tc>
      </w:tr>
      <w:tr w:rsidR="00000000" w14:paraId="6B42A8B4" w14:textId="77777777">
        <w:tblPrEx>
          <w:tblCellMar>
            <w:top w:w="0" w:type="dxa"/>
            <w:bottom w:w="0" w:type="dxa"/>
          </w:tblCellMar>
        </w:tblPrEx>
        <w:trPr>
          <w:cantSplit/>
        </w:trPr>
        <w:tc>
          <w:tcPr>
            <w:tcW w:w="1728" w:type="dxa"/>
            <w:tcBorders>
              <w:right w:val="nil"/>
            </w:tcBorders>
          </w:tcPr>
          <w:p w14:paraId="5A0DD90B" w14:textId="77777777" w:rsidR="00000000" w:rsidRDefault="00000000">
            <w:pPr>
              <w:pStyle w:val="tabletext"/>
              <w:rPr>
                <w:b/>
                <w:bCs/>
              </w:rPr>
            </w:pPr>
            <w:r>
              <w:rPr>
                <w:b/>
                <w:bCs/>
              </w:rPr>
              <w:t>Power</w:t>
            </w:r>
          </w:p>
        </w:tc>
        <w:tc>
          <w:tcPr>
            <w:tcW w:w="7920" w:type="dxa"/>
            <w:tcBorders>
              <w:left w:val="nil"/>
            </w:tcBorders>
          </w:tcPr>
          <w:p w14:paraId="604C5416" w14:textId="77777777" w:rsidR="00000000" w:rsidRDefault="00000000">
            <w:pPr>
              <w:pStyle w:val="tabletext"/>
            </w:pPr>
            <w:r>
              <w:t>Provide outlets per code.  Additional outlets are required in the game area and for the CCTV and CATV system.  Also consider other additional outlets for special events held in this space, e.g. like a dance.</w:t>
            </w:r>
          </w:p>
        </w:tc>
      </w:tr>
      <w:tr w:rsidR="00000000" w14:paraId="484221AA" w14:textId="77777777">
        <w:tblPrEx>
          <w:tblCellMar>
            <w:top w:w="0" w:type="dxa"/>
            <w:bottom w:w="0" w:type="dxa"/>
          </w:tblCellMar>
        </w:tblPrEx>
        <w:trPr>
          <w:cantSplit/>
        </w:trPr>
        <w:tc>
          <w:tcPr>
            <w:tcW w:w="1728" w:type="dxa"/>
            <w:tcBorders>
              <w:right w:val="nil"/>
            </w:tcBorders>
          </w:tcPr>
          <w:p w14:paraId="774F03FD" w14:textId="77777777" w:rsidR="00000000" w:rsidRDefault="00000000">
            <w:pPr>
              <w:pStyle w:val="tabletext"/>
              <w:rPr>
                <w:b/>
                <w:bCs/>
              </w:rPr>
            </w:pPr>
            <w:r>
              <w:rPr>
                <w:b/>
                <w:bCs/>
              </w:rPr>
              <w:t>Lighting</w:t>
            </w:r>
          </w:p>
        </w:tc>
        <w:tc>
          <w:tcPr>
            <w:tcW w:w="7920" w:type="dxa"/>
            <w:tcBorders>
              <w:left w:val="nil"/>
            </w:tcBorders>
          </w:tcPr>
          <w:p w14:paraId="2D58F1D4" w14:textId="77777777" w:rsidR="00000000" w:rsidRDefault="00000000">
            <w:pPr>
              <w:pStyle w:val="tabletext"/>
            </w:pPr>
            <w:r>
              <w:t>215 to 430 Lux (20 to 40 ft. candles) general ambient lighting.  Provide a variety of other accent and task lighting fixtures to create interest.  Provide dedicated fixtures over the pool and gaming tables.  Consider providing dimming in some areas.</w:t>
            </w:r>
          </w:p>
        </w:tc>
      </w:tr>
      <w:tr w:rsidR="00000000" w14:paraId="07720CA7" w14:textId="77777777">
        <w:tblPrEx>
          <w:tblCellMar>
            <w:top w:w="0" w:type="dxa"/>
            <w:bottom w:w="0" w:type="dxa"/>
          </w:tblCellMar>
        </w:tblPrEx>
        <w:trPr>
          <w:cantSplit/>
        </w:trPr>
        <w:tc>
          <w:tcPr>
            <w:tcW w:w="1728" w:type="dxa"/>
            <w:tcBorders>
              <w:bottom w:val="single" w:sz="4" w:space="0" w:color="auto"/>
              <w:right w:val="nil"/>
            </w:tcBorders>
          </w:tcPr>
          <w:p w14:paraId="2C1253D2" w14:textId="77777777" w:rsidR="00000000" w:rsidRDefault="00000000">
            <w:pPr>
              <w:pStyle w:val="tabletext"/>
              <w:rPr>
                <w:b/>
                <w:bCs/>
              </w:rPr>
            </w:pPr>
            <w:r>
              <w:rPr>
                <w:b/>
                <w:bCs/>
              </w:rPr>
              <w:t>Communication</w:t>
            </w:r>
          </w:p>
        </w:tc>
        <w:tc>
          <w:tcPr>
            <w:tcW w:w="7920" w:type="dxa"/>
            <w:tcBorders>
              <w:left w:val="nil"/>
              <w:bottom w:val="single" w:sz="4" w:space="0" w:color="auto"/>
            </w:tcBorders>
          </w:tcPr>
          <w:p w14:paraId="562669B1" w14:textId="77777777" w:rsidR="00000000" w:rsidRDefault="00000000">
            <w:pPr>
              <w:pStyle w:val="tabletext"/>
            </w:pPr>
            <w:r>
              <w:rPr>
                <w:b/>
                <w:bCs/>
              </w:rPr>
              <w:t xml:space="preserve">CCTV.  </w:t>
            </w:r>
            <w:r>
              <w:rPr>
                <w:bCs/>
              </w:rPr>
              <w:t>Provide sufficient quantity to allow adequate coverage.</w:t>
            </w:r>
          </w:p>
          <w:p w14:paraId="1AB1934E" w14:textId="77777777" w:rsidR="00000000" w:rsidRDefault="00000000">
            <w:pPr>
              <w:pStyle w:val="tabletext"/>
            </w:pPr>
            <w:r>
              <w:rPr>
                <w:b/>
                <w:bCs/>
              </w:rPr>
              <w:t>CATV/Internal Video.</w:t>
            </w:r>
            <w:r>
              <w:t xml:space="preserve">  One or two outlets.</w:t>
            </w:r>
          </w:p>
          <w:p w14:paraId="296CCF4F" w14:textId="77777777" w:rsidR="00000000" w:rsidRDefault="00000000">
            <w:pPr>
              <w:pStyle w:val="tabletext"/>
            </w:pPr>
            <w:r>
              <w:rPr>
                <w:b/>
                <w:bCs/>
              </w:rPr>
              <w:t xml:space="preserve">PA/Audio.  </w:t>
            </w:r>
            <w:r>
              <w:t>Provide at least one speaker.</w:t>
            </w:r>
          </w:p>
          <w:p w14:paraId="4E59D779" w14:textId="77777777" w:rsidR="00000000" w:rsidRDefault="00000000">
            <w:pPr>
              <w:pStyle w:val="tabletext"/>
            </w:pPr>
            <w:r>
              <w:rPr>
                <w:b/>
                <w:bCs/>
              </w:rPr>
              <w:t>Telephone.</w:t>
            </w:r>
            <w:r>
              <w:t xml:space="preserve">  None required.</w:t>
            </w:r>
          </w:p>
          <w:p w14:paraId="67AC2BA0" w14:textId="77777777" w:rsidR="00000000" w:rsidRDefault="00000000">
            <w:pPr>
              <w:pStyle w:val="tabletext"/>
            </w:pPr>
            <w:r>
              <w:rPr>
                <w:b/>
                <w:bCs/>
              </w:rPr>
              <w:t xml:space="preserve">Data. </w:t>
            </w:r>
            <w:r>
              <w:t xml:space="preserve"> None required.</w:t>
            </w:r>
          </w:p>
          <w:p w14:paraId="53127DD4" w14:textId="77777777" w:rsidR="00000000" w:rsidRDefault="00000000">
            <w:pPr>
              <w:pStyle w:val="tabletext"/>
            </w:pPr>
            <w:r>
              <w:rPr>
                <w:b/>
                <w:bCs/>
              </w:rPr>
              <w:t>Security.</w:t>
            </w:r>
            <w:r>
              <w:t xml:space="preserve">  None required.</w:t>
            </w:r>
          </w:p>
        </w:tc>
      </w:tr>
      <w:tr w:rsidR="00000000" w14:paraId="221F87DB" w14:textId="77777777">
        <w:tblPrEx>
          <w:tblCellMar>
            <w:top w:w="0" w:type="dxa"/>
            <w:bottom w:w="0" w:type="dxa"/>
          </w:tblCellMar>
        </w:tblPrEx>
        <w:trPr>
          <w:cantSplit/>
        </w:trPr>
        <w:tc>
          <w:tcPr>
            <w:tcW w:w="1728" w:type="dxa"/>
            <w:tcBorders>
              <w:bottom w:val="single" w:sz="4" w:space="0" w:color="auto"/>
              <w:right w:val="nil"/>
            </w:tcBorders>
          </w:tcPr>
          <w:p w14:paraId="3D5C25F4" w14:textId="77777777" w:rsidR="00000000" w:rsidRDefault="00000000">
            <w:pPr>
              <w:pStyle w:val="tabletext"/>
              <w:rPr>
                <w:b/>
                <w:bCs/>
              </w:rPr>
            </w:pPr>
            <w:r>
              <w:rPr>
                <w:b/>
                <w:bCs/>
              </w:rPr>
              <w:t>Casework</w:t>
            </w:r>
          </w:p>
        </w:tc>
        <w:tc>
          <w:tcPr>
            <w:tcW w:w="7920" w:type="dxa"/>
            <w:tcBorders>
              <w:left w:val="nil"/>
              <w:bottom w:val="single" w:sz="4" w:space="0" w:color="auto"/>
            </w:tcBorders>
          </w:tcPr>
          <w:p w14:paraId="1328DFD4" w14:textId="77777777" w:rsidR="00000000" w:rsidRDefault="00000000">
            <w:pPr>
              <w:pStyle w:val="tabletext"/>
            </w:pPr>
            <w:r>
              <w:t>None required.</w:t>
            </w:r>
          </w:p>
        </w:tc>
      </w:tr>
      <w:tr w:rsidR="00000000" w14:paraId="6A4EC684" w14:textId="77777777">
        <w:tblPrEx>
          <w:tblCellMar>
            <w:top w:w="0" w:type="dxa"/>
            <w:bottom w:w="0" w:type="dxa"/>
          </w:tblCellMar>
        </w:tblPrEx>
        <w:trPr>
          <w:cantSplit/>
        </w:trPr>
        <w:tc>
          <w:tcPr>
            <w:tcW w:w="1728" w:type="dxa"/>
            <w:tcBorders>
              <w:bottom w:val="nil"/>
              <w:right w:val="nil"/>
            </w:tcBorders>
          </w:tcPr>
          <w:p w14:paraId="2EABAD1C" w14:textId="77777777" w:rsidR="00000000" w:rsidRDefault="00000000">
            <w:pPr>
              <w:pStyle w:val="tabletext"/>
              <w:rPr>
                <w:b/>
                <w:bCs/>
              </w:rPr>
            </w:pPr>
            <w:r>
              <w:rPr>
                <w:b/>
                <w:bCs/>
              </w:rPr>
              <w:t>Furnishings Fixtures &amp; Equipment (FF&amp;E)</w:t>
            </w:r>
          </w:p>
        </w:tc>
        <w:tc>
          <w:tcPr>
            <w:tcW w:w="7920" w:type="dxa"/>
            <w:tcBorders>
              <w:left w:val="nil"/>
              <w:bottom w:val="nil"/>
            </w:tcBorders>
          </w:tcPr>
          <w:p w14:paraId="0B1CC8C4" w14:textId="77777777" w:rsidR="00000000" w:rsidRDefault="00000000">
            <w:pPr>
              <w:pStyle w:val="tabletext"/>
            </w:pPr>
            <w:r>
              <w:t>Tables, chairs, soft and padded furniture, and television(s).  Additional specific furniture requirements are described in the associated areas.</w:t>
            </w:r>
          </w:p>
        </w:tc>
      </w:tr>
      <w:tr w:rsidR="00000000" w14:paraId="2BBE84ED" w14:textId="77777777">
        <w:tblPrEx>
          <w:tblCellMar>
            <w:top w:w="0" w:type="dxa"/>
            <w:bottom w:w="0" w:type="dxa"/>
          </w:tblCellMar>
        </w:tblPrEx>
        <w:trPr>
          <w:cantSplit/>
        </w:trPr>
        <w:tc>
          <w:tcPr>
            <w:tcW w:w="1728" w:type="dxa"/>
            <w:tcBorders>
              <w:top w:val="single" w:sz="4" w:space="0" w:color="auto"/>
              <w:bottom w:val="single" w:sz="4" w:space="0" w:color="auto"/>
              <w:right w:val="nil"/>
            </w:tcBorders>
          </w:tcPr>
          <w:p w14:paraId="6B22A272" w14:textId="77777777" w:rsidR="00000000" w:rsidRDefault="00000000">
            <w:pPr>
              <w:pStyle w:val="tabletext"/>
              <w:rPr>
                <w:b/>
                <w:bCs/>
              </w:rPr>
            </w:pPr>
            <w:r>
              <w:rPr>
                <w:b/>
                <w:bCs/>
              </w:rPr>
              <w:t>Special Requirements</w:t>
            </w:r>
          </w:p>
        </w:tc>
        <w:tc>
          <w:tcPr>
            <w:tcW w:w="7920" w:type="dxa"/>
            <w:tcBorders>
              <w:top w:val="single" w:sz="4" w:space="0" w:color="auto"/>
              <w:left w:val="nil"/>
              <w:bottom w:val="single" w:sz="4" w:space="0" w:color="auto"/>
            </w:tcBorders>
          </w:tcPr>
          <w:p w14:paraId="2ABEF038" w14:textId="3CE7F63D" w:rsidR="00000000" w:rsidRDefault="00000000">
            <w:pPr>
              <w:pStyle w:val="tabletext"/>
            </w:pPr>
            <w:r>
              <w:t xml:space="preserve">This space will be greatly enhanced by skylights or clerestory windows.  </w:t>
            </w:r>
            <w:r w:rsidR="00AE6D8F">
              <w:rPr>
                <w:noProof/>
                <w:position w:val="-8"/>
                <w:szCs w:val="20"/>
              </w:rPr>
              <w:drawing>
                <wp:inline distT="0" distB="0" distL="0" distR="0" wp14:anchorId="10B41581" wp14:editId="6326F921">
                  <wp:extent cx="276225" cy="20002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r>
              <w:t xml:space="preserve">  Army requires the exterior doors to be alarmed.</w:t>
            </w:r>
          </w:p>
          <w:p w14:paraId="7A12511B" w14:textId="77777777" w:rsidR="00000000" w:rsidRDefault="00000000">
            <w:pPr>
              <w:pStyle w:val="tabletext"/>
            </w:pPr>
            <w:r>
              <w:t>A general Youth Program storage closet is programmed and generally provides storage for the Commons and Game Area.  It is likely located off of the Commons.  If it is a separate room, provide a vision panel in the door.</w:t>
            </w:r>
          </w:p>
        </w:tc>
      </w:tr>
      <w:tr w:rsidR="00000000" w14:paraId="23B74B97" w14:textId="77777777">
        <w:tblPrEx>
          <w:tblCellMar>
            <w:top w:w="0" w:type="dxa"/>
            <w:bottom w:w="0" w:type="dxa"/>
          </w:tblCellMar>
        </w:tblPrEx>
        <w:trPr>
          <w:cantSplit/>
        </w:trPr>
        <w:tc>
          <w:tcPr>
            <w:tcW w:w="9648" w:type="dxa"/>
            <w:gridSpan w:val="2"/>
            <w:tcBorders>
              <w:top w:val="single" w:sz="4" w:space="0" w:color="auto"/>
              <w:left w:val="single" w:sz="4" w:space="0" w:color="auto"/>
              <w:bottom w:val="nil"/>
              <w:right w:val="single" w:sz="4" w:space="0" w:color="auto"/>
            </w:tcBorders>
          </w:tcPr>
          <w:p w14:paraId="46FE4559" w14:textId="77777777" w:rsidR="00000000" w:rsidRDefault="00000000">
            <w:pPr>
              <w:pStyle w:val="tablehead2"/>
            </w:pPr>
            <w:r>
              <w:t>For use during project execution by the appropriate Service agency</w:t>
            </w:r>
          </w:p>
        </w:tc>
      </w:tr>
      <w:tr w:rsidR="00000000" w14:paraId="455F6DA5" w14:textId="77777777">
        <w:tblPrEx>
          <w:tblCellMar>
            <w:top w:w="0" w:type="dxa"/>
            <w:bottom w:w="0" w:type="dxa"/>
          </w:tblCellMar>
        </w:tblPrEx>
        <w:trPr>
          <w:cantSplit/>
        </w:trPr>
        <w:tc>
          <w:tcPr>
            <w:tcW w:w="1728" w:type="dxa"/>
            <w:tcBorders>
              <w:top w:val="single" w:sz="4" w:space="0" w:color="auto"/>
              <w:left w:val="single" w:sz="4" w:space="0" w:color="auto"/>
              <w:bottom w:val="nil"/>
              <w:right w:val="nil"/>
            </w:tcBorders>
            <w:shd w:val="clear" w:color="auto" w:fill="C0C0C0"/>
          </w:tcPr>
          <w:p w14:paraId="49DB94AE" w14:textId="77777777" w:rsidR="00000000" w:rsidRDefault="00000000">
            <w:pPr>
              <w:pStyle w:val="tabletext"/>
              <w:rPr>
                <w:b/>
                <w:bCs/>
              </w:rPr>
            </w:pPr>
            <w:r>
              <w:rPr>
                <w:b/>
                <w:bCs/>
              </w:rPr>
              <w:t>Occupancy</w:t>
            </w:r>
          </w:p>
        </w:tc>
        <w:tc>
          <w:tcPr>
            <w:tcW w:w="7920" w:type="dxa"/>
            <w:tcBorders>
              <w:top w:val="single" w:sz="4" w:space="0" w:color="auto"/>
              <w:left w:val="nil"/>
              <w:bottom w:val="nil"/>
              <w:right w:val="single" w:sz="4" w:space="0" w:color="auto"/>
            </w:tcBorders>
            <w:shd w:val="clear" w:color="auto" w:fill="C0C0C0"/>
          </w:tcPr>
          <w:p w14:paraId="07E3B33A" w14:textId="77777777" w:rsidR="00000000" w:rsidRDefault="00000000">
            <w:pPr>
              <w:pStyle w:val="tabletext"/>
            </w:pPr>
            <w:r>
              <w:t xml:space="preserve">Staff.  </w:t>
            </w:r>
          </w:p>
        </w:tc>
      </w:tr>
      <w:tr w:rsidR="00000000" w14:paraId="4DCC7B16" w14:textId="77777777">
        <w:tblPrEx>
          <w:tblCellMar>
            <w:top w:w="0" w:type="dxa"/>
            <w:bottom w:w="0" w:type="dxa"/>
          </w:tblCellMar>
        </w:tblPrEx>
        <w:trPr>
          <w:cantSplit/>
        </w:trPr>
        <w:tc>
          <w:tcPr>
            <w:tcW w:w="1728" w:type="dxa"/>
            <w:tcBorders>
              <w:top w:val="nil"/>
              <w:left w:val="single" w:sz="4" w:space="0" w:color="auto"/>
              <w:bottom w:val="single" w:sz="4" w:space="0" w:color="auto"/>
              <w:right w:val="nil"/>
            </w:tcBorders>
            <w:shd w:val="clear" w:color="auto" w:fill="C0C0C0"/>
          </w:tcPr>
          <w:p w14:paraId="78FE27E8" w14:textId="77777777" w:rsidR="00000000" w:rsidRDefault="00000000">
            <w:pPr>
              <w:pStyle w:val="tabletext"/>
              <w:rPr>
                <w:bCs/>
              </w:rPr>
            </w:pPr>
          </w:p>
        </w:tc>
        <w:tc>
          <w:tcPr>
            <w:tcW w:w="7920" w:type="dxa"/>
            <w:tcBorders>
              <w:top w:val="nil"/>
              <w:left w:val="nil"/>
              <w:bottom w:val="single" w:sz="4" w:space="0" w:color="auto"/>
              <w:right w:val="single" w:sz="4" w:space="0" w:color="auto"/>
            </w:tcBorders>
            <w:shd w:val="clear" w:color="auto" w:fill="C0C0C0"/>
          </w:tcPr>
          <w:p w14:paraId="494DEEBC" w14:textId="77777777" w:rsidR="00000000" w:rsidRDefault="00000000">
            <w:pPr>
              <w:pStyle w:val="tabletext"/>
            </w:pPr>
            <w:r>
              <w:t xml:space="preserve">Patrons/Youth.  </w:t>
            </w:r>
          </w:p>
        </w:tc>
      </w:tr>
      <w:tr w:rsidR="00000000" w14:paraId="62D39D71" w14:textId="77777777">
        <w:tblPrEx>
          <w:tblCellMar>
            <w:top w:w="0" w:type="dxa"/>
            <w:bottom w:w="0" w:type="dxa"/>
          </w:tblCellMar>
        </w:tblPrEx>
        <w:trPr>
          <w:cantSplit/>
        </w:trPr>
        <w:tc>
          <w:tcPr>
            <w:tcW w:w="1728" w:type="dxa"/>
            <w:tcBorders>
              <w:top w:val="single" w:sz="4" w:space="0" w:color="auto"/>
              <w:left w:val="single" w:sz="4" w:space="0" w:color="auto"/>
              <w:bottom w:val="single" w:sz="4" w:space="0" w:color="auto"/>
              <w:right w:val="nil"/>
            </w:tcBorders>
            <w:shd w:val="clear" w:color="auto" w:fill="C0C0C0"/>
          </w:tcPr>
          <w:p w14:paraId="389ADE33" w14:textId="77777777" w:rsidR="00000000" w:rsidRDefault="00000000">
            <w:pPr>
              <w:pStyle w:val="tabletext"/>
              <w:rPr>
                <w:b/>
                <w:bCs/>
              </w:rPr>
            </w:pPr>
            <w:r>
              <w:rPr>
                <w:b/>
                <w:bCs/>
              </w:rPr>
              <w:t>Min. net m</w:t>
            </w:r>
            <w:r>
              <w:rPr>
                <w:b/>
                <w:bCs/>
                <w:vertAlign w:val="superscript"/>
              </w:rPr>
              <w:t>2</w:t>
            </w:r>
            <w:r>
              <w:rPr>
                <w:b/>
                <w:bCs/>
              </w:rPr>
              <w:t xml:space="preserve"> (ft</w:t>
            </w:r>
            <w:r>
              <w:rPr>
                <w:b/>
                <w:bCs/>
                <w:vertAlign w:val="superscript"/>
              </w:rPr>
              <w:t>2</w:t>
            </w:r>
            <w:r>
              <w:rPr>
                <w:b/>
                <w:bCs/>
              </w:rPr>
              <w:t>)</w:t>
            </w:r>
          </w:p>
        </w:tc>
        <w:tc>
          <w:tcPr>
            <w:tcW w:w="7920" w:type="dxa"/>
            <w:tcBorders>
              <w:top w:val="single" w:sz="4" w:space="0" w:color="auto"/>
              <w:left w:val="nil"/>
              <w:bottom w:val="single" w:sz="4" w:space="0" w:color="auto"/>
              <w:right w:val="single" w:sz="4" w:space="0" w:color="auto"/>
            </w:tcBorders>
            <w:shd w:val="clear" w:color="auto" w:fill="C0C0C0"/>
          </w:tcPr>
          <w:p w14:paraId="284B10E3" w14:textId="77777777" w:rsidR="00000000" w:rsidRDefault="00000000">
            <w:pPr>
              <w:pStyle w:val="tabletext"/>
              <w:tabs>
                <w:tab w:val="left" w:pos="3666"/>
              </w:tabs>
            </w:pPr>
            <w:r>
              <w:t xml:space="preserve">Area. </w:t>
            </w:r>
            <w:r>
              <w:tab/>
              <w:t>Storage Closet.</w:t>
            </w:r>
          </w:p>
        </w:tc>
      </w:tr>
    </w:tbl>
    <w:p w14:paraId="6B4BF51B" w14:textId="77777777" w:rsidR="00C675FD" w:rsidRDefault="00C675FD"/>
    <w:sectPr w:rsidR="00C675F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485EC0"/>
    <w:multiLevelType w:val="hybridMultilevel"/>
    <w:tmpl w:val="5392842E"/>
    <w:lvl w:ilvl="0" w:tplc="3D6A992C">
      <w:start w:val="1"/>
      <w:numFmt w:val="lowerLetter"/>
      <w:pStyle w:val="UFCletterbullet"/>
      <w:lvlText w:val="%1."/>
      <w:lvlJc w:val="left"/>
      <w:pPr>
        <w:tabs>
          <w:tab w:val="num" w:pos="1080"/>
        </w:tabs>
        <w:ind w:left="1080" w:hanging="360"/>
      </w:pPr>
      <w:rPr>
        <w:rFonts w:hint="default"/>
      </w:rPr>
    </w:lvl>
    <w:lvl w:ilvl="1" w:tplc="ADECBB58">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2357786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91F"/>
    <w:rsid w:val="0044791F"/>
    <w:rsid w:val="00AE6D8F"/>
    <w:rsid w:val="00C67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678B1C"/>
  <w15:chartTrackingRefBased/>
  <w15:docId w15:val="{1717739C-9C00-4592-B64B-4FD49BC8C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FCletterbullet">
    <w:name w:val="UFC letter bullet"/>
    <w:basedOn w:val="Normal"/>
    <w:pPr>
      <w:numPr>
        <w:numId w:val="1"/>
      </w:numPr>
    </w:pPr>
    <w:rPr>
      <w:rFonts w:ascii="Arial" w:hAnsi="Arial" w:cs="Arial"/>
      <w:szCs w:val="18"/>
    </w:rPr>
  </w:style>
  <w:style w:type="paragraph" w:customStyle="1" w:styleId="UFCtable">
    <w:name w:val="UFCtable"/>
    <w:basedOn w:val="Normal"/>
    <w:pPr>
      <w:spacing w:after="240"/>
      <w:jc w:val="center"/>
    </w:pPr>
    <w:rPr>
      <w:rFonts w:ascii="Arial" w:hAnsi="Arial" w:cs="Arial"/>
      <w:b/>
      <w:snapToGrid w:val="0"/>
    </w:rPr>
  </w:style>
  <w:style w:type="paragraph" w:customStyle="1" w:styleId="tabletext">
    <w:name w:val="table text"/>
    <w:basedOn w:val="Normal"/>
    <w:pPr>
      <w:spacing w:before="20" w:after="20"/>
    </w:pPr>
    <w:rPr>
      <w:rFonts w:ascii="Arial" w:eastAsia="Arial Unicode MS" w:hAnsi="Arial" w:cs="Arial"/>
      <w:sz w:val="20"/>
    </w:rPr>
  </w:style>
  <w:style w:type="paragraph" w:customStyle="1" w:styleId="tablehead2">
    <w:name w:val="table head2"/>
    <w:basedOn w:val="Normal"/>
    <w:pPr>
      <w:spacing w:before="60" w:after="60"/>
      <w:jc w:val="center"/>
    </w:pPr>
    <w:rPr>
      <w:rFonts w:ascii="Arial" w:hAnsi="Arial" w:cs="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445</Words>
  <Characters>2542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TABLE 4-5-1 Commons</vt:lpstr>
    </vt:vector>
  </TitlesOfParts>
  <Company>United States Department of Defense</Company>
  <LinksUpToDate>false</LinksUpToDate>
  <CharactersWithSpaces>2982</CharactersWithSpaces>
  <SharedDoc>false</SharedDoc>
  <HLinks>
    <vt:vector size="12" baseType="variant">
      <vt:variant>
        <vt:i4>6619251</vt:i4>
      </vt:variant>
      <vt:variant>
        <vt:i4>1698</vt:i4>
      </vt:variant>
      <vt:variant>
        <vt:i4>1025</vt:i4>
      </vt:variant>
      <vt:variant>
        <vt:i4>1</vt:i4>
      </vt:variant>
      <vt:variant>
        <vt:lpwstr>se</vt:lpwstr>
      </vt:variant>
      <vt:variant>
        <vt:lpwstr/>
      </vt:variant>
      <vt:variant>
        <vt:i4>6619251</vt:i4>
      </vt:variant>
      <vt:variant>
        <vt:i4>3589</vt:i4>
      </vt:variant>
      <vt:variant>
        <vt:i4>1026</vt:i4>
      </vt:variant>
      <vt:variant>
        <vt:i4>1</vt:i4>
      </vt:variant>
      <vt:variant>
        <vt:lpwstr>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4-5-1 Commons</dc:title>
  <dc:subject/>
  <cp:keywords/>
  <dc:description/>
  <cp:revision>2</cp:revision>
  <dcterms:created xsi:type="dcterms:W3CDTF">2024-06-06T18:14:00Z</dcterms:created>
  <dcterms:modified xsi:type="dcterms:W3CDTF">2024-06-06T18:14:00Z</dcterms:modified>
  <cp:category>UFC</cp:category>
</cp:coreProperties>
</file>